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640EF6" w14:textId="659E33B6" w:rsidR="00E97543" w:rsidRDefault="36D722A8" w:rsidP="523F8DE7">
      <w:pPr>
        <w:spacing w:after="0" w:line="240" w:lineRule="auto"/>
        <w:jc w:val="center"/>
        <w:rPr>
          <w:rFonts w:ascii="Baskerville Old Face" w:eastAsia="Baskerville Old Face" w:hAnsi="Baskerville Old Face" w:cs="Baskerville Old Face"/>
          <w:color w:val="000000" w:themeColor="text1"/>
        </w:rPr>
      </w:pPr>
      <w:r>
        <w:rPr>
          <w:noProof/>
        </w:rPr>
        <w:drawing>
          <wp:inline distT="0" distB="0" distL="0" distR="0" wp14:anchorId="79E56863" wp14:editId="41C40107">
            <wp:extent cx="2286000" cy="657225"/>
            <wp:effectExtent l="0" t="0" r="0" b="0"/>
            <wp:docPr id="349675093" name="Picture 349675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86000" cy="657225"/>
                    </a:xfrm>
                    <a:prstGeom prst="rect">
                      <a:avLst/>
                    </a:prstGeom>
                  </pic:spPr>
                </pic:pic>
              </a:graphicData>
            </a:graphic>
          </wp:inline>
        </w:drawing>
      </w:r>
      <w:r>
        <w:br/>
      </w:r>
    </w:p>
    <w:p w14:paraId="3BD9E8E6" w14:textId="02A36A9D" w:rsidR="00E97543" w:rsidRPr="00731597" w:rsidRDefault="36D722A8" w:rsidP="00731597">
      <w:pPr>
        <w:pStyle w:val="Heading1"/>
        <w:jc w:val="center"/>
        <w:rPr>
          <w:rFonts w:eastAsia="Baskerville Old Face"/>
          <w:b/>
          <w:bCs/>
          <w:color w:val="2103A5"/>
        </w:rPr>
      </w:pPr>
      <w:r w:rsidRPr="00731597">
        <w:rPr>
          <w:rFonts w:eastAsia="Baskerville Old Face"/>
          <w:b/>
          <w:bCs/>
          <w:color w:val="2103A5"/>
        </w:rPr>
        <w:t>Institutional Review Board (“IRB”)</w:t>
      </w:r>
      <w:r w:rsidR="00731597" w:rsidRPr="00731597">
        <w:rPr>
          <w:rFonts w:eastAsia="Baskerville Old Face"/>
          <w:b/>
          <w:bCs/>
          <w:color w:val="2103A5"/>
        </w:rPr>
        <w:t xml:space="preserve"> </w:t>
      </w:r>
      <w:r w:rsidR="00731597" w:rsidRPr="00731597">
        <w:rPr>
          <w:rFonts w:eastAsia="Baskerville Old Face"/>
          <w:b/>
          <w:bCs/>
          <w:color w:val="2103A5"/>
        </w:rPr>
        <w:br/>
      </w:r>
      <w:r w:rsidRPr="00731597">
        <w:rPr>
          <w:rFonts w:eastAsia="Baskerville Old Face"/>
          <w:b/>
          <w:bCs/>
          <w:color w:val="2103A5"/>
        </w:rPr>
        <w:t xml:space="preserve">Data Security </w:t>
      </w:r>
      <w:r w:rsidR="1B7D6590" w:rsidRPr="00731597">
        <w:rPr>
          <w:rFonts w:eastAsia="Baskerville Old Face"/>
          <w:b/>
          <w:bCs/>
          <w:color w:val="2103A5"/>
        </w:rPr>
        <w:t>Guidelines</w:t>
      </w:r>
    </w:p>
    <w:p w14:paraId="13B40A18" w14:textId="2291EC09" w:rsidR="00E97543" w:rsidRDefault="00E97543" w:rsidP="523F8DE7">
      <w:pPr>
        <w:spacing w:after="0" w:line="240" w:lineRule="auto"/>
        <w:rPr>
          <w:rFonts w:ascii="Baskerville Old Face" w:eastAsia="Baskerville Old Face" w:hAnsi="Baskerville Old Face" w:cs="Baskerville Old Face"/>
          <w:color w:val="000000" w:themeColor="text1"/>
        </w:rPr>
      </w:pPr>
    </w:p>
    <w:p w14:paraId="1996D3DC" w14:textId="6518965D" w:rsidR="70B01A5B" w:rsidRPr="00731597" w:rsidRDefault="70B01A5B" w:rsidP="00731597">
      <w:pPr>
        <w:spacing w:after="0" w:line="240" w:lineRule="auto"/>
        <w:rPr>
          <w:rFonts w:ascii="Calibri" w:eastAsia="Baskerville Old Face" w:hAnsi="Calibri" w:cs="Calibri"/>
          <w:color w:val="000000" w:themeColor="text1"/>
        </w:rPr>
      </w:pPr>
      <w:r w:rsidRPr="00731597">
        <w:rPr>
          <w:rFonts w:ascii="Calibri" w:eastAsia="Baskerville Old Face" w:hAnsi="Calibri" w:cs="Calibri"/>
          <w:color w:val="000000" w:themeColor="text1"/>
        </w:rPr>
        <w:t xml:space="preserve">Federal regulations for human </w:t>
      </w:r>
      <w:proofErr w:type="gramStart"/>
      <w:r w:rsidRPr="00731597">
        <w:rPr>
          <w:rFonts w:ascii="Calibri" w:eastAsia="Baskerville Old Face" w:hAnsi="Calibri" w:cs="Calibri"/>
          <w:color w:val="000000" w:themeColor="text1"/>
        </w:rPr>
        <w:t>subjects</w:t>
      </w:r>
      <w:proofErr w:type="gramEnd"/>
      <w:r w:rsidRPr="00731597">
        <w:rPr>
          <w:rFonts w:ascii="Calibri" w:eastAsia="Baskerville Old Face" w:hAnsi="Calibri" w:cs="Calibri"/>
          <w:color w:val="000000" w:themeColor="text1"/>
        </w:rPr>
        <w:t xml:space="preserve"> research require Institutional Review Boards (</w:t>
      </w:r>
      <w:r w:rsidR="5E42BD60" w:rsidRPr="00731597">
        <w:rPr>
          <w:rFonts w:ascii="Calibri" w:eastAsia="Baskerville Old Face" w:hAnsi="Calibri" w:cs="Calibri"/>
          <w:color w:val="000000" w:themeColor="text1"/>
        </w:rPr>
        <w:t>“</w:t>
      </w:r>
      <w:r w:rsidRPr="00731597">
        <w:rPr>
          <w:rFonts w:ascii="Calibri" w:eastAsia="Baskerville Old Face" w:hAnsi="Calibri" w:cs="Calibri"/>
          <w:color w:val="000000" w:themeColor="text1"/>
        </w:rPr>
        <w:t>IRBs</w:t>
      </w:r>
      <w:r w:rsidR="58D7F316" w:rsidRPr="00731597">
        <w:rPr>
          <w:rFonts w:ascii="Calibri" w:eastAsia="Baskerville Old Face" w:hAnsi="Calibri" w:cs="Calibri"/>
          <w:color w:val="000000" w:themeColor="text1"/>
        </w:rPr>
        <w:t>”</w:t>
      </w:r>
      <w:r w:rsidRPr="00731597">
        <w:rPr>
          <w:rFonts w:ascii="Calibri" w:eastAsia="Baskerville Old Face" w:hAnsi="Calibri" w:cs="Calibri"/>
          <w:color w:val="000000" w:themeColor="text1"/>
        </w:rPr>
        <w:t xml:space="preserve">) to determine that adequate provisions to protect the privacy of subjects and the confidentiality of data are in place and that researchers include adequate provisions for monitoring the data collected to ensure the safety of subjects in their research plan. This document will help investigators plan for the collection, transmission, and storage of research data in a secure manner consistent with </w:t>
      </w:r>
      <w:r w:rsidR="00160281" w:rsidRPr="00731597">
        <w:rPr>
          <w:rFonts w:ascii="Calibri" w:eastAsia="Baskerville Old Face" w:hAnsi="Calibri" w:cs="Calibri"/>
          <w:color w:val="000000" w:themeColor="text1"/>
        </w:rPr>
        <w:t xml:space="preserve">federal regulations and </w:t>
      </w:r>
      <w:r w:rsidRPr="00731597">
        <w:rPr>
          <w:rFonts w:ascii="Calibri" w:eastAsia="Baskerville Old Face" w:hAnsi="Calibri" w:cs="Calibri"/>
          <w:color w:val="000000" w:themeColor="text1"/>
        </w:rPr>
        <w:t xml:space="preserve">Connecticut State Colleges </w:t>
      </w:r>
      <w:r w:rsidR="11B0C9A4" w:rsidRPr="00731597">
        <w:rPr>
          <w:rFonts w:ascii="Calibri" w:eastAsia="Baskerville Old Face" w:hAnsi="Calibri" w:cs="Calibri"/>
          <w:color w:val="000000" w:themeColor="text1"/>
        </w:rPr>
        <w:t>and</w:t>
      </w:r>
      <w:r w:rsidRPr="00731597">
        <w:rPr>
          <w:rFonts w:ascii="Calibri" w:eastAsia="Baskerville Old Face" w:hAnsi="Calibri" w:cs="Calibri"/>
          <w:color w:val="000000" w:themeColor="text1"/>
        </w:rPr>
        <w:t xml:space="preserve"> Universities (</w:t>
      </w:r>
      <w:r w:rsidR="44331D01" w:rsidRPr="00731597">
        <w:rPr>
          <w:rFonts w:ascii="Calibri" w:eastAsia="Baskerville Old Face" w:hAnsi="Calibri" w:cs="Calibri"/>
          <w:color w:val="000000" w:themeColor="text1"/>
        </w:rPr>
        <w:t>“</w:t>
      </w:r>
      <w:r w:rsidRPr="00731597">
        <w:rPr>
          <w:rFonts w:ascii="Calibri" w:eastAsia="Baskerville Old Face" w:hAnsi="Calibri" w:cs="Calibri"/>
          <w:color w:val="000000" w:themeColor="text1"/>
        </w:rPr>
        <w:t>CSCU</w:t>
      </w:r>
      <w:r w:rsidR="6E764759" w:rsidRPr="00731597">
        <w:rPr>
          <w:rFonts w:ascii="Calibri" w:eastAsia="Baskerville Old Face" w:hAnsi="Calibri" w:cs="Calibri"/>
          <w:color w:val="000000" w:themeColor="text1"/>
        </w:rPr>
        <w:t>”</w:t>
      </w:r>
      <w:r w:rsidRPr="00731597">
        <w:rPr>
          <w:rFonts w:ascii="Calibri" w:eastAsia="Baskerville Old Face" w:hAnsi="Calibri" w:cs="Calibri"/>
          <w:color w:val="000000" w:themeColor="text1"/>
        </w:rPr>
        <w:t xml:space="preserve">) policies. </w:t>
      </w:r>
    </w:p>
    <w:p w14:paraId="504A6541" w14:textId="005C1468" w:rsidR="65E7147E" w:rsidRPr="00731597" w:rsidRDefault="65E7147E" w:rsidP="523F8DE7">
      <w:pPr>
        <w:spacing w:after="0" w:line="240" w:lineRule="auto"/>
        <w:rPr>
          <w:rFonts w:ascii="Calibri" w:eastAsia="Baskerville Old Face" w:hAnsi="Calibri" w:cs="Calibri"/>
          <w:color w:val="000000" w:themeColor="text1"/>
        </w:rPr>
      </w:pPr>
    </w:p>
    <w:p w14:paraId="113C10E1" w14:textId="680C1FB6" w:rsidR="511AD84A" w:rsidRPr="00731597" w:rsidRDefault="20CBEBDF" w:rsidP="00731597">
      <w:pPr>
        <w:spacing w:after="0" w:line="240" w:lineRule="auto"/>
        <w:rPr>
          <w:rFonts w:ascii="Calibri" w:eastAsia="Baskerville Old Face" w:hAnsi="Calibri" w:cs="Calibri"/>
          <w:color w:val="000000" w:themeColor="text1"/>
        </w:rPr>
      </w:pPr>
      <w:r w:rsidRPr="00731597">
        <w:rPr>
          <w:rFonts w:ascii="Calibri" w:eastAsia="Baskerville Old Face" w:hAnsi="Calibri" w:cs="Calibri"/>
          <w:color w:val="000000" w:themeColor="text1"/>
        </w:rPr>
        <w:t xml:space="preserve">The Principal Investigator </w:t>
      </w:r>
      <w:r w:rsidR="4FB61259" w:rsidRPr="00731597">
        <w:rPr>
          <w:rFonts w:ascii="Calibri" w:eastAsia="Baskerville Old Face" w:hAnsi="Calibri" w:cs="Calibri"/>
          <w:color w:val="000000" w:themeColor="text1"/>
        </w:rPr>
        <w:t xml:space="preserve">(“PI”) </w:t>
      </w:r>
      <w:r w:rsidRPr="00731597">
        <w:rPr>
          <w:rFonts w:ascii="Calibri" w:eastAsia="Baskerville Old Face" w:hAnsi="Calibri" w:cs="Calibri"/>
          <w:color w:val="000000" w:themeColor="text1"/>
        </w:rPr>
        <w:t>is responsible for all aspects of research, including the collection, transmission, storage, backup, and security of data and ensuring those listed as key personnel are informed and trained on the procedures related to data security. Research team meetings should include documentation of training and discussion about the safeguards in place to protect research data.</w:t>
      </w:r>
      <w:r w:rsidR="4681C187" w:rsidRPr="00731597">
        <w:rPr>
          <w:rFonts w:ascii="Calibri" w:eastAsia="Baskerville Old Face" w:hAnsi="Calibri" w:cs="Calibri"/>
          <w:color w:val="000000" w:themeColor="text1"/>
        </w:rPr>
        <w:t xml:space="preserve"> </w:t>
      </w:r>
      <w:r w:rsidRPr="00731597">
        <w:rPr>
          <w:rFonts w:ascii="Calibri" w:eastAsia="Baskerville Old Face" w:hAnsi="Calibri" w:cs="Calibri"/>
          <w:color w:val="000000" w:themeColor="text1"/>
        </w:rPr>
        <w:t xml:space="preserve">This is particularly important should a breach </w:t>
      </w:r>
      <w:r w:rsidR="26C79089" w:rsidRPr="00731597">
        <w:rPr>
          <w:rFonts w:ascii="Calibri" w:eastAsia="Baskerville Old Face" w:hAnsi="Calibri" w:cs="Calibri"/>
          <w:color w:val="000000" w:themeColor="text1"/>
        </w:rPr>
        <w:t xml:space="preserve">be suspected or </w:t>
      </w:r>
      <w:proofErr w:type="gramStart"/>
      <w:r w:rsidR="26C79089" w:rsidRPr="00731597">
        <w:rPr>
          <w:rFonts w:ascii="Calibri" w:eastAsia="Baskerville Old Face" w:hAnsi="Calibri" w:cs="Calibri"/>
          <w:color w:val="000000" w:themeColor="text1"/>
        </w:rPr>
        <w:t xml:space="preserve">actually </w:t>
      </w:r>
      <w:r w:rsidRPr="00731597">
        <w:rPr>
          <w:rFonts w:ascii="Calibri" w:eastAsia="Baskerville Old Face" w:hAnsi="Calibri" w:cs="Calibri"/>
          <w:color w:val="000000" w:themeColor="text1"/>
        </w:rPr>
        <w:t>occur</w:t>
      </w:r>
      <w:proofErr w:type="gramEnd"/>
      <w:r w:rsidRPr="00731597">
        <w:rPr>
          <w:rFonts w:ascii="Calibri" w:eastAsia="Baskerville Old Face" w:hAnsi="Calibri" w:cs="Calibri"/>
          <w:color w:val="000000" w:themeColor="text1"/>
        </w:rPr>
        <w:t xml:space="preserve"> or loss or theft of a device that stores identifiable data. These occurrences must be immediately communicated to the </w:t>
      </w:r>
      <w:r w:rsidR="3E259D9D" w:rsidRPr="00731597">
        <w:rPr>
          <w:rFonts w:ascii="Calibri" w:eastAsia="Baskerville Old Face" w:hAnsi="Calibri" w:cs="Calibri"/>
          <w:color w:val="000000" w:themeColor="text1"/>
        </w:rPr>
        <w:t xml:space="preserve">CT State </w:t>
      </w:r>
      <w:r w:rsidRPr="00731597">
        <w:rPr>
          <w:rFonts w:ascii="Calibri" w:eastAsia="Baskerville Old Face" w:hAnsi="Calibri" w:cs="Calibri"/>
          <w:color w:val="000000" w:themeColor="text1"/>
        </w:rPr>
        <w:t>IRB</w:t>
      </w:r>
      <w:r w:rsidR="54D29495" w:rsidRPr="00731597">
        <w:rPr>
          <w:rFonts w:ascii="Calibri" w:eastAsia="Baskerville Old Face" w:hAnsi="Calibri" w:cs="Calibri"/>
          <w:color w:val="000000" w:themeColor="text1"/>
        </w:rPr>
        <w:t xml:space="preserve"> at </w:t>
      </w:r>
      <w:hyperlink r:id="rId11">
        <w:r w:rsidR="04C85933" w:rsidRPr="00731597">
          <w:rPr>
            <w:rStyle w:val="Hyperlink"/>
            <w:rFonts w:ascii="Calibri" w:eastAsia="Baskerville Old Face" w:hAnsi="Calibri" w:cs="Calibri"/>
          </w:rPr>
          <w:t>ctstate-irb@ct.edu</w:t>
        </w:r>
      </w:hyperlink>
      <w:r w:rsidR="04C85933" w:rsidRPr="00731597">
        <w:rPr>
          <w:rFonts w:ascii="Calibri" w:eastAsia="Baskerville Old Face" w:hAnsi="Calibri" w:cs="Calibri"/>
          <w:color w:val="000000" w:themeColor="text1"/>
        </w:rPr>
        <w:t xml:space="preserve"> </w:t>
      </w:r>
      <w:r w:rsidR="54D29495" w:rsidRPr="00731597">
        <w:rPr>
          <w:rFonts w:ascii="Calibri" w:eastAsia="Baskerville Old Face" w:hAnsi="Calibri" w:cs="Calibri"/>
          <w:color w:val="000000" w:themeColor="text1"/>
        </w:rPr>
        <w:t>and the CSCU Information Security Program Office (</w:t>
      </w:r>
      <w:r w:rsidR="29A04AAD" w:rsidRPr="00731597">
        <w:rPr>
          <w:rFonts w:ascii="Calibri" w:eastAsia="Baskerville Old Face" w:hAnsi="Calibri" w:cs="Calibri"/>
          <w:color w:val="000000" w:themeColor="text1"/>
        </w:rPr>
        <w:t>“</w:t>
      </w:r>
      <w:r w:rsidR="54D29495" w:rsidRPr="00731597">
        <w:rPr>
          <w:rFonts w:ascii="Calibri" w:eastAsia="Baskerville Old Face" w:hAnsi="Calibri" w:cs="Calibri"/>
          <w:color w:val="000000" w:themeColor="text1"/>
        </w:rPr>
        <w:t>ISPO</w:t>
      </w:r>
      <w:r w:rsidR="6B3CF297" w:rsidRPr="00731597">
        <w:rPr>
          <w:rFonts w:ascii="Calibri" w:eastAsia="Baskerville Old Face" w:hAnsi="Calibri" w:cs="Calibri"/>
          <w:color w:val="000000" w:themeColor="text1"/>
        </w:rPr>
        <w:t>”</w:t>
      </w:r>
      <w:r w:rsidR="54D29495" w:rsidRPr="00731597">
        <w:rPr>
          <w:rFonts w:ascii="Calibri" w:eastAsia="Baskerville Old Face" w:hAnsi="Calibri" w:cs="Calibri"/>
          <w:color w:val="000000" w:themeColor="text1"/>
        </w:rPr>
        <w:t xml:space="preserve">) at </w:t>
      </w:r>
      <w:hyperlink r:id="rId12">
        <w:r w:rsidR="54D29495" w:rsidRPr="00731597">
          <w:rPr>
            <w:rStyle w:val="Hyperlink"/>
            <w:rFonts w:ascii="Calibri" w:eastAsia="Baskerville Old Face" w:hAnsi="Calibri" w:cs="Calibri"/>
          </w:rPr>
          <w:t>security@ct.edu</w:t>
        </w:r>
      </w:hyperlink>
      <w:r w:rsidR="54D29495" w:rsidRPr="00731597">
        <w:rPr>
          <w:rFonts w:ascii="Calibri" w:eastAsia="Baskerville Old Face" w:hAnsi="Calibri" w:cs="Calibri"/>
          <w:color w:val="000000" w:themeColor="text1"/>
        </w:rPr>
        <w:t>.</w:t>
      </w:r>
    </w:p>
    <w:p w14:paraId="222482F8" w14:textId="20DB4DF6" w:rsidR="523F8DE7" w:rsidRPr="00731597" w:rsidRDefault="523F8DE7" w:rsidP="523F8DE7">
      <w:pPr>
        <w:spacing w:after="0" w:line="240" w:lineRule="auto"/>
        <w:rPr>
          <w:rFonts w:ascii="Calibri" w:eastAsia="Baskerville Old Face" w:hAnsi="Calibri" w:cs="Calibri"/>
          <w:color w:val="000000" w:themeColor="text1"/>
        </w:rPr>
      </w:pPr>
    </w:p>
    <w:p w14:paraId="11FE3489" w14:textId="52F39D17" w:rsidR="753A6076" w:rsidRPr="00731597" w:rsidRDefault="6780AB8B" w:rsidP="00731597">
      <w:pPr>
        <w:spacing w:after="0" w:line="240" w:lineRule="auto"/>
        <w:rPr>
          <w:rFonts w:ascii="Calibri" w:eastAsia="Baskerville Old Face" w:hAnsi="Calibri" w:cs="Calibri"/>
          <w:color w:val="000000" w:themeColor="text1"/>
        </w:rPr>
      </w:pPr>
      <w:r w:rsidRPr="00731597">
        <w:rPr>
          <w:rFonts w:ascii="Calibri" w:eastAsia="Baskerville Old Face" w:hAnsi="Calibri" w:cs="Calibri"/>
          <w:color w:val="000000" w:themeColor="text1"/>
        </w:rPr>
        <w:t>The inform</w:t>
      </w:r>
      <w:r w:rsidRPr="00731597">
        <w:rPr>
          <w:rFonts w:ascii="Calibri" w:eastAsia="Baskerville Old Face" w:hAnsi="Calibri" w:cs="Calibri"/>
        </w:rPr>
        <w:t>ed consent form must include information regarding any terms of service or end user agreement for technologies used in the research as well as information about whether a vendor has access to a participant’s contact list or other information on their device, ability to track location, and whether there is a possibility that any participant data will be used for marketing or other activities or sold to a third party.</w:t>
      </w:r>
      <w:r w:rsidR="00AC7A25" w:rsidRPr="00731597">
        <w:rPr>
          <w:rFonts w:ascii="Calibri" w:eastAsia="Baskerville Old Face" w:hAnsi="Calibri" w:cs="Calibri"/>
        </w:rPr>
        <w:t xml:space="preserve"> </w:t>
      </w:r>
      <w:r w:rsidR="007B1469" w:rsidRPr="00731597">
        <w:rPr>
          <w:rFonts w:ascii="Calibri" w:eastAsia="Baskerville Old Face" w:hAnsi="Calibri" w:cs="Calibri"/>
        </w:rPr>
        <w:t xml:space="preserve">Specifically, the informed consent form must include </w:t>
      </w:r>
      <w:r w:rsidR="00F00871" w:rsidRPr="00731597">
        <w:rPr>
          <w:rFonts w:ascii="Calibri" w:eastAsia="Baskerville Old Face" w:hAnsi="Calibri" w:cs="Calibri"/>
        </w:rPr>
        <w:t>the</w:t>
      </w:r>
      <w:r w:rsidR="007B1469" w:rsidRPr="00731597">
        <w:rPr>
          <w:rFonts w:ascii="Calibri" w:eastAsia="Baskerville Old Face" w:hAnsi="Calibri" w:cs="Calibri"/>
        </w:rPr>
        <w:t xml:space="preserve"> security and privacy features, such as Health Insurance Portability and Accountability Act (“HIPPA”) compliance, of the software </w:t>
      </w:r>
      <w:r w:rsidR="00F00871" w:rsidRPr="00731597">
        <w:rPr>
          <w:rFonts w:ascii="Calibri" w:eastAsia="Baskerville Old Face" w:hAnsi="Calibri" w:cs="Calibri"/>
        </w:rPr>
        <w:t>that you intend to use</w:t>
      </w:r>
      <w:r w:rsidR="007B1469" w:rsidRPr="00731597">
        <w:rPr>
          <w:rFonts w:ascii="Calibri" w:eastAsia="Baskerville Old Face" w:hAnsi="Calibri" w:cs="Calibri"/>
        </w:rPr>
        <w:t>.</w:t>
      </w:r>
      <w:r w:rsidR="00AF429D" w:rsidRPr="00731597">
        <w:rPr>
          <w:rFonts w:ascii="Calibri" w:eastAsia="Baskerville Old Face" w:hAnsi="Calibri" w:cs="Calibri"/>
        </w:rPr>
        <w:t xml:space="preserve"> Additionally, instructions on how to use the software must be provided to participants. </w:t>
      </w:r>
    </w:p>
    <w:p w14:paraId="7D5B6F1B" w14:textId="71C33858" w:rsidR="65E7147E" w:rsidRPr="00731597" w:rsidRDefault="65E7147E" w:rsidP="523F8DE7">
      <w:pPr>
        <w:spacing w:after="0" w:line="240" w:lineRule="auto"/>
        <w:rPr>
          <w:rFonts w:ascii="Calibri" w:eastAsia="Baskerville Old Face" w:hAnsi="Calibri" w:cs="Calibri"/>
          <w:color w:val="000000" w:themeColor="text1"/>
        </w:rPr>
      </w:pPr>
    </w:p>
    <w:p w14:paraId="5CD742CE" w14:textId="3021E000" w:rsidR="379380E4" w:rsidRPr="00731597" w:rsidRDefault="07D8AA26" w:rsidP="00731597">
      <w:pPr>
        <w:pStyle w:val="Heading2"/>
        <w:rPr>
          <w:rFonts w:eastAsia="Baskerville Old Face"/>
          <w:b w:val="0"/>
        </w:rPr>
      </w:pPr>
      <w:r w:rsidRPr="00731597">
        <w:rPr>
          <w:rFonts w:eastAsia="Baskerville Old Face"/>
        </w:rPr>
        <w:t>Definitions</w:t>
      </w:r>
    </w:p>
    <w:p w14:paraId="5CD45AEE" w14:textId="0D9478E7" w:rsidR="65E7147E" w:rsidRPr="00731597" w:rsidRDefault="65E7147E" w:rsidP="523F8DE7">
      <w:pPr>
        <w:spacing w:after="0" w:line="240" w:lineRule="auto"/>
        <w:rPr>
          <w:rFonts w:ascii="Calibri" w:eastAsia="Baskerville Old Face" w:hAnsi="Calibri" w:cs="Calibri"/>
          <w:b/>
          <w:bCs/>
        </w:rPr>
      </w:pPr>
    </w:p>
    <w:p w14:paraId="685DC4BC" w14:textId="29873A32" w:rsidR="65E7147E" w:rsidRPr="00731597" w:rsidRDefault="07D8AA26" w:rsidP="523F8DE7">
      <w:pPr>
        <w:pStyle w:val="ListParagraph"/>
        <w:numPr>
          <w:ilvl w:val="0"/>
          <w:numId w:val="1"/>
        </w:numPr>
        <w:spacing w:after="0" w:line="240" w:lineRule="auto"/>
        <w:rPr>
          <w:rFonts w:ascii="Calibri" w:eastAsia="Baskerville Old Face" w:hAnsi="Calibri" w:cs="Calibri"/>
        </w:rPr>
      </w:pPr>
      <w:r w:rsidRPr="00731597">
        <w:rPr>
          <w:rFonts w:ascii="Calibri" w:eastAsia="Baskerville Old Face" w:hAnsi="Calibri" w:cs="Calibri"/>
          <w:b/>
          <w:bCs/>
        </w:rPr>
        <w:t>Anonymous Data:</w:t>
      </w:r>
      <w:r w:rsidR="46D2E741" w:rsidRPr="00731597">
        <w:rPr>
          <w:rFonts w:ascii="Calibri" w:eastAsia="Baskerville Old Face" w:hAnsi="Calibri" w:cs="Calibri"/>
          <w:b/>
          <w:bCs/>
        </w:rPr>
        <w:t xml:space="preserve"> </w:t>
      </w:r>
      <w:r w:rsidR="5A778B9E" w:rsidRPr="00731597">
        <w:rPr>
          <w:rFonts w:ascii="Calibri" w:eastAsia="Baskerville Old Face" w:hAnsi="Calibri" w:cs="Calibri"/>
        </w:rPr>
        <w:t>These data do not include personally identifiable information (</w:t>
      </w:r>
      <w:r w:rsidR="6E17A581" w:rsidRPr="00731597">
        <w:rPr>
          <w:rFonts w:ascii="Calibri" w:eastAsia="Baskerville Old Face" w:hAnsi="Calibri" w:cs="Calibri"/>
        </w:rPr>
        <w:t>“</w:t>
      </w:r>
      <w:r w:rsidR="5A778B9E" w:rsidRPr="00731597">
        <w:rPr>
          <w:rFonts w:ascii="Calibri" w:eastAsia="Baskerville Old Face" w:hAnsi="Calibri" w:cs="Calibri"/>
        </w:rPr>
        <w:t>PII</w:t>
      </w:r>
      <w:r w:rsidR="6B29296D" w:rsidRPr="00731597">
        <w:rPr>
          <w:rFonts w:ascii="Calibri" w:eastAsia="Baskerville Old Face" w:hAnsi="Calibri" w:cs="Calibri"/>
        </w:rPr>
        <w:t>”</w:t>
      </w:r>
      <w:r w:rsidR="5A778B9E" w:rsidRPr="00731597">
        <w:rPr>
          <w:rFonts w:ascii="Calibri" w:eastAsia="Baskerville Old Face" w:hAnsi="Calibri" w:cs="Calibri"/>
        </w:rPr>
        <w:t>)</w:t>
      </w:r>
      <w:r w:rsidR="719253FC" w:rsidRPr="00731597">
        <w:rPr>
          <w:rFonts w:ascii="Calibri" w:eastAsia="Baskerville Old Face" w:hAnsi="Calibri" w:cs="Calibri"/>
        </w:rPr>
        <w:t xml:space="preserve"> including but not limited to date of birth</w:t>
      </w:r>
      <w:r w:rsidR="007B1469" w:rsidRPr="00731597">
        <w:rPr>
          <w:rFonts w:ascii="Calibri" w:eastAsia="Baskerville Old Face" w:hAnsi="Calibri" w:cs="Calibri"/>
        </w:rPr>
        <w:t xml:space="preserve"> (“DOB”)</w:t>
      </w:r>
      <w:r w:rsidR="719253FC" w:rsidRPr="00731597">
        <w:rPr>
          <w:rFonts w:ascii="Calibri" w:eastAsia="Baskerville Old Face" w:hAnsi="Calibri" w:cs="Calibri"/>
        </w:rPr>
        <w:t xml:space="preserve"> and e-mail address</w:t>
      </w:r>
      <w:r w:rsidR="5A778B9E" w:rsidRPr="00731597">
        <w:rPr>
          <w:rFonts w:ascii="Calibri" w:eastAsia="Baskerville Old Face" w:hAnsi="Calibri" w:cs="Calibri"/>
        </w:rPr>
        <w:t>.</w:t>
      </w:r>
      <w:r w:rsidR="5A778B9E" w:rsidRPr="00731597">
        <w:rPr>
          <w:rFonts w:ascii="Calibri" w:eastAsia="Baskerville Old Face" w:hAnsi="Calibri" w:cs="Calibri"/>
          <w:b/>
          <w:bCs/>
        </w:rPr>
        <w:t xml:space="preserve"> </w:t>
      </w:r>
      <w:r w:rsidR="1C4F48BA" w:rsidRPr="00731597">
        <w:rPr>
          <w:rFonts w:ascii="Calibri" w:eastAsia="Baskerville Old Face" w:hAnsi="Calibri" w:cs="Calibri"/>
        </w:rPr>
        <w:t>Internet Protocol (</w:t>
      </w:r>
      <w:r w:rsidR="6A0EC9F8" w:rsidRPr="00731597">
        <w:rPr>
          <w:rFonts w:ascii="Calibri" w:eastAsia="Baskerville Old Face" w:hAnsi="Calibri" w:cs="Calibri"/>
        </w:rPr>
        <w:t>“</w:t>
      </w:r>
      <w:r w:rsidRPr="00731597">
        <w:rPr>
          <w:rFonts w:ascii="Calibri" w:eastAsia="Baskerville Old Face" w:hAnsi="Calibri" w:cs="Calibri"/>
        </w:rPr>
        <w:t>IP</w:t>
      </w:r>
      <w:r w:rsidR="04B8488D" w:rsidRPr="00731597">
        <w:rPr>
          <w:rFonts w:ascii="Calibri" w:eastAsia="Baskerville Old Face" w:hAnsi="Calibri" w:cs="Calibri"/>
        </w:rPr>
        <w:t>”</w:t>
      </w:r>
      <w:r w:rsidR="4E2C0AD4" w:rsidRPr="00731597">
        <w:rPr>
          <w:rFonts w:ascii="Calibri" w:eastAsia="Baskerville Old Face" w:hAnsi="Calibri" w:cs="Calibri"/>
        </w:rPr>
        <w:t>)</w:t>
      </w:r>
      <w:r w:rsidRPr="00731597">
        <w:rPr>
          <w:rFonts w:ascii="Calibri" w:eastAsia="Baskerville Old Face" w:hAnsi="Calibri" w:cs="Calibri"/>
        </w:rPr>
        <w:t xml:space="preserve"> addresses are considered by some international standards to be identifiable even though the address is linked to the computer and not specifically to the individual.</w:t>
      </w:r>
    </w:p>
    <w:p w14:paraId="3FB2BB14" w14:textId="5D5AA298" w:rsidR="65E7147E" w:rsidRPr="00731597" w:rsidRDefault="07D8AA26" w:rsidP="523F8DE7">
      <w:pPr>
        <w:pStyle w:val="ListParagraph"/>
        <w:numPr>
          <w:ilvl w:val="0"/>
          <w:numId w:val="1"/>
        </w:numPr>
        <w:spacing w:after="0" w:line="240" w:lineRule="auto"/>
        <w:rPr>
          <w:rFonts w:ascii="Calibri" w:eastAsia="Baskerville Old Face" w:hAnsi="Calibri" w:cs="Calibri"/>
        </w:rPr>
      </w:pPr>
      <w:r w:rsidRPr="00731597">
        <w:rPr>
          <w:rFonts w:ascii="Calibri" w:eastAsia="Baskerville Old Face" w:hAnsi="Calibri" w:cs="Calibri"/>
          <w:b/>
          <w:bCs/>
        </w:rPr>
        <w:t xml:space="preserve">Confidential </w:t>
      </w:r>
      <w:r w:rsidR="6059EFE0" w:rsidRPr="00731597">
        <w:rPr>
          <w:rFonts w:ascii="Calibri" w:eastAsia="Baskerville Old Face" w:hAnsi="Calibri" w:cs="Calibri"/>
          <w:b/>
          <w:bCs/>
        </w:rPr>
        <w:t>D</w:t>
      </w:r>
      <w:r w:rsidRPr="00731597">
        <w:rPr>
          <w:rFonts w:ascii="Calibri" w:eastAsia="Baskerville Old Face" w:hAnsi="Calibri" w:cs="Calibri"/>
          <w:b/>
          <w:bCs/>
        </w:rPr>
        <w:t>ata</w:t>
      </w:r>
      <w:r w:rsidR="2D770622" w:rsidRPr="00731597">
        <w:rPr>
          <w:rFonts w:ascii="Calibri" w:eastAsia="Baskerville Old Face" w:hAnsi="Calibri" w:cs="Calibri"/>
          <w:b/>
          <w:bCs/>
        </w:rPr>
        <w:t>:</w:t>
      </w:r>
      <w:r w:rsidR="5028B7BB" w:rsidRPr="00731597">
        <w:rPr>
          <w:rFonts w:ascii="Calibri" w:eastAsia="Baskerville Old Face" w:hAnsi="Calibri" w:cs="Calibri"/>
          <w:b/>
          <w:bCs/>
        </w:rPr>
        <w:t xml:space="preserve"> </w:t>
      </w:r>
      <w:r w:rsidR="0F7A63E7" w:rsidRPr="00731597">
        <w:rPr>
          <w:rFonts w:ascii="Calibri" w:eastAsia="Baskerville Old Face" w:hAnsi="Calibri" w:cs="Calibri"/>
        </w:rPr>
        <w:t xml:space="preserve">These data </w:t>
      </w:r>
      <w:r w:rsidR="35271001" w:rsidRPr="00731597">
        <w:rPr>
          <w:rFonts w:ascii="Calibri" w:eastAsia="Baskerville Old Face" w:hAnsi="Calibri" w:cs="Calibri"/>
        </w:rPr>
        <w:t>are</w:t>
      </w:r>
      <w:r w:rsidRPr="00731597">
        <w:rPr>
          <w:rFonts w:ascii="Calibri" w:eastAsia="Baskerville Old Face" w:hAnsi="Calibri" w:cs="Calibri"/>
        </w:rPr>
        <w:t xml:space="preserve"> regulated by </w:t>
      </w:r>
      <w:r w:rsidR="3B2127E3" w:rsidRPr="00731597">
        <w:rPr>
          <w:rFonts w:ascii="Calibri" w:eastAsia="Baskerville Old Face" w:hAnsi="Calibri" w:cs="Calibri"/>
        </w:rPr>
        <w:t>f</w:t>
      </w:r>
      <w:r w:rsidRPr="00731597">
        <w:rPr>
          <w:rFonts w:ascii="Calibri" w:eastAsia="Baskerville Old Face" w:hAnsi="Calibri" w:cs="Calibri"/>
        </w:rPr>
        <w:t xml:space="preserve">ederal or </w:t>
      </w:r>
      <w:r w:rsidR="51FA2F0B" w:rsidRPr="00731597">
        <w:rPr>
          <w:rFonts w:ascii="Calibri" w:eastAsia="Baskerville Old Face" w:hAnsi="Calibri" w:cs="Calibri"/>
        </w:rPr>
        <w:t>s</w:t>
      </w:r>
      <w:r w:rsidRPr="00731597">
        <w:rPr>
          <w:rFonts w:ascii="Calibri" w:eastAsia="Baskerville Old Face" w:hAnsi="Calibri" w:cs="Calibri"/>
        </w:rPr>
        <w:t xml:space="preserve">tate laws including but not limited to </w:t>
      </w:r>
      <w:r w:rsidR="0340B121" w:rsidRPr="00731597">
        <w:rPr>
          <w:rFonts w:ascii="Calibri" w:eastAsia="Baskerville Old Face" w:hAnsi="Calibri" w:cs="Calibri"/>
        </w:rPr>
        <w:t xml:space="preserve">the </w:t>
      </w:r>
      <w:r w:rsidRPr="00731597">
        <w:rPr>
          <w:rFonts w:ascii="Calibri" w:eastAsia="Baskerville Old Face" w:hAnsi="Calibri" w:cs="Calibri"/>
        </w:rPr>
        <w:t xml:space="preserve">Family </w:t>
      </w:r>
      <w:r w:rsidR="52AC5A0B" w:rsidRPr="00731597">
        <w:rPr>
          <w:rFonts w:ascii="Calibri" w:eastAsia="Baskerville Old Face" w:hAnsi="Calibri" w:cs="Calibri"/>
        </w:rPr>
        <w:t xml:space="preserve">Educational </w:t>
      </w:r>
      <w:r w:rsidRPr="00731597">
        <w:rPr>
          <w:rFonts w:ascii="Calibri" w:eastAsia="Baskerville Old Face" w:hAnsi="Calibri" w:cs="Calibri"/>
        </w:rPr>
        <w:t>Rights and Privacy Act (</w:t>
      </w:r>
      <w:r w:rsidR="0BAD6619" w:rsidRPr="00731597">
        <w:rPr>
          <w:rFonts w:ascii="Calibri" w:eastAsia="Baskerville Old Face" w:hAnsi="Calibri" w:cs="Calibri"/>
        </w:rPr>
        <w:t>“</w:t>
      </w:r>
      <w:r w:rsidRPr="00731597">
        <w:rPr>
          <w:rFonts w:ascii="Calibri" w:eastAsia="Baskerville Old Face" w:hAnsi="Calibri" w:cs="Calibri"/>
        </w:rPr>
        <w:t>FERPA</w:t>
      </w:r>
      <w:r w:rsidR="4DA2EA48" w:rsidRPr="00731597">
        <w:rPr>
          <w:rFonts w:ascii="Calibri" w:eastAsia="Baskerville Old Face" w:hAnsi="Calibri" w:cs="Calibri"/>
        </w:rPr>
        <w:t>”</w:t>
      </w:r>
      <w:r w:rsidRPr="00731597">
        <w:rPr>
          <w:rFonts w:ascii="Calibri" w:eastAsia="Baskerville Old Face" w:hAnsi="Calibri" w:cs="Calibri"/>
        </w:rPr>
        <w:t xml:space="preserve">), </w:t>
      </w:r>
      <w:r w:rsidR="52661073" w:rsidRPr="00731597">
        <w:rPr>
          <w:rFonts w:ascii="Calibri" w:eastAsia="Baskerville Old Face" w:hAnsi="Calibri" w:cs="Calibri"/>
        </w:rPr>
        <w:t xml:space="preserve">the </w:t>
      </w:r>
      <w:r w:rsidRPr="00731597">
        <w:rPr>
          <w:rFonts w:ascii="Calibri" w:eastAsia="Baskerville Old Face" w:hAnsi="Calibri" w:cs="Calibri"/>
        </w:rPr>
        <w:t>HIPAA, or the Children’s Online Privacy Protection Act (</w:t>
      </w:r>
      <w:r w:rsidR="6ED9F0F8" w:rsidRPr="00731597">
        <w:rPr>
          <w:rFonts w:ascii="Calibri" w:eastAsia="Baskerville Old Face" w:hAnsi="Calibri" w:cs="Calibri"/>
        </w:rPr>
        <w:t>“</w:t>
      </w:r>
      <w:r w:rsidRPr="00731597">
        <w:rPr>
          <w:rFonts w:ascii="Calibri" w:eastAsia="Baskerville Old Face" w:hAnsi="Calibri" w:cs="Calibri"/>
        </w:rPr>
        <w:t>COPPA</w:t>
      </w:r>
      <w:r w:rsidR="77E2996C" w:rsidRPr="00731597">
        <w:rPr>
          <w:rFonts w:ascii="Calibri" w:eastAsia="Baskerville Old Face" w:hAnsi="Calibri" w:cs="Calibri"/>
        </w:rPr>
        <w:t>”</w:t>
      </w:r>
      <w:r w:rsidRPr="00731597">
        <w:rPr>
          <w:rFonts w:ascii="Calibri" w:eastAsia="Baskerville Old Face" w:hAnsi="Calibri" w:cs="Calibri"/>
        </w:rPr>
        <w:t>)</w:t>
      </w:r>
      <w:r w:rsidR="77E2996C" w:rsidRPr="00731597">
        <w:rPr>
          <w:rFonts w:ascii="Calibri" w:eastAsia="Baskerville Old Face" w:hAnsi="Calibri" w:cs="Calibri"/>
        </w:rPr>
        <w:t>, as amended</w:t>
      </w:r>
      <w:r w:rsidRPr="00731597">
        <w:rPr>
          <w:rFonts w:ascii="Calibri" w:eastAsia="Baskerville Old Face" w:hAnsi="Calibri" w:cs="Calibri"/>
        </w:rPr>
        <w:t xml:space="preserve">. </w:t>
      </w:r>
    </w:p>
    <w:p w14:paraId="08DD7879" w14:textId="22A19686" w:rsidR="379380E4" w:rsidRPr="00731597" w:rsidRDefault="07D8AA26" w:rsidP="523F8DE7">
      <w:pPr>
        <w:pStyle w:val="ListParagraph"/>
        <w:numPr>
          <w:ilvl w:val="0"/>
          <w:numId w:val="1"/>
        </w:numPr>
        <w:spacing w:after="0" w:line="240" w:lineRule="auto"/>
        <w:rPr>
          <w:rFonts w:ascii="Calibri" w:eastAsia="Baskerville Old Face" w:hAnsi="Calibri" w:cs="Calibri"/>
        </w:rPr>
      </w:pPr>
      <w:r w:rsidRPr="00731597">
        <w:rPr>
          <w:rFonts w:ascii="Calibri" w:eastAsia="Baskerville Old Face" w:hAnsi="Calibri" w:cs="Calibri"/>
          <w:b/>
          <w:bCs/>
        </w:rPr>
        <w:t>De-</w:t>
      </w:r>
      <w:r w:rsidR="123FE164" w:rsidRPr="00731597">
        <w:rPr>
          <w:rFonts w:ascii="Calibri" w:eastAsia="Baskerville Old Face" w:hAnsi="Calibri" w:cs="Calibri"/>
          <w:b/>
          <w:bCs/>
        </w:rPr>
        <w:t>I</w:t>
      </w:r>
      <w:r w:rsidRPr="00731597">
        <w:rPr>
          <w:rFonts w:ascii="Calibri" w:eastAsia="Baskerville Old Face" w:hAnsi="Calibri" w:cs="Calibri"/>
          <w:b/>
          <w:bCs/>
        </w:rPr>
        <w:t>dentified Data:</w:t>
      </w:r>
      <w:r w:rsidRPr="00731597">
        <w:rPr>
          <w:rFonts w:ascii="Calibri" w:eastAsia="Baskerville Old Face" w:hAnsi="Calibri" w:cs="Calibri"/>
        </w:rPr>
        <w:t xml:space="preserve"> </w:t>
      </w:r>
      <w:r w:rsidR="3C8033D4" w:rsidRPr="00731597">
        <w:rPr>
          <w:rFonts w:ascii="Calibri" w:eastAsia="Baskerville Old Face" w:hAnsi="Calibri" w:cs="Calibri"/>
        </w:rPr>
        <w:t xml:space="preserve">These data </w:t>
      </w:r>
      <w:r w:rsidRPr="00731597">
        <w:rPr>
          <w:rFonts w:ascii="Calibri" w:eastAsia="Baskerville Old Face" w:hAnsi="Calibri" w:cs="Calibri"/>
        </w:rPr>
        <w:t>are stripped of all identifying information and there is no way the data could be linked back to an individual through a key or other coding method. Best practice when de-identifying data is to use the</w:t>
      </w:r>
      <w:r w:rsidR="3B54A881" w:rsidRPr="00731597">
        <w:rPr>
          <w:rFonts w:ascii="Calibri" w:eastAsia="Baskerville Old Face" w:hAnsi="Calibri" w:cs="Calibri"/>
          <w:color w:val="333333"/>
        </w:rPr>
        <w:t xml:space="preserve"> </w:t>
      </w:r>
      <w:hyperlink r:id="rId13" w:anchor="standard">
        <w:r w:rsidRPr="00731597">
          <w:rPr>
            <w:rStyle w:val="Hyperlink"/>
            <w:rFonts w:ascii="Calibri" w:eastAsia="Baskerville Old Face" w:hAnsi="Calibri" w:cs="Calibri"/>
            <w:color w:val="007E9E"/>
          </w:rPr>
          <w:t>safe harbor</w:t>
        </w:r>
      </w:hyperlink>
      <w:r w:rsidRPr="00731597">
        <w:rPr>
          <w:rFonts w:ascii="Calibri" w:eastAsia="Baskerville Old Face" w:hAnsi="Calibri" w:cs="Calibri"/>
          <w:color w:val="333333"/>
        </w:rPr>
        <w:t xml:space="preserve"> </w:t>
      </w:r>
      <w:r w:rsidRPr="00731597">
        <w:rPr>
          <w:rFonts w:ascii="Calibri" w:eastAsia="Baskerville Old Face" w:hAnsi="Calibri" w:cs="Calibri"/>
        </w:rPr>
        <w:t>method where all HIPAA identifiers are removed.</w:t>
      </w:r>
    </w:p>
    <w:p w14:paraId="2FC2DF9E" w14:textId="18AA5799" w:rsidR="65E7147E" w:rsidRPr="00731597" w:rsidRDefault="65E7147E" w:rsidP="523F8DE7">
      <w:pPr>
        <w:spacing w:after="0" w:line="240" w:lineRule="auto"/>
        <w:rPr>
          <w:rFonts w:ascii="Calibri" w:eastAsia="Baskerville Old Face" w:hAnsi="Calibri" w:cs="Calibri"/>
          <w:b/>
          <w:bCs/>
        </w:rPr>
      </w:pPr>
    </w:p>
    <w:p w14:paraId="344D06C1" w14:textId="7453C658" w:rsidR="65E7147E" w:rsidRPr="00731597" w:rsidRDefault="07D8AA26" w:rsidP="523F8DE7">
      <w:pPr>
        <w:pStyle w:val="ListParagraph"/>
        <w:numPr>
          <w:ilvl w:val="0"/>
          <w:numId w:val="1"/>
        </w:numPr>
        <w:spacing w:after="0" w:line="240" w:lineRule="auto"/>
        <w:rPr>
          <w:rFonts w:ascii="Calibri" w:eastAsia="Baskerville Old Face" w:hAnsi="Calibri" w:cs="Calibri"/>
        </w:rPr>
      </w:pPr>
      <w:r w:rsidRPr="00731597">
        <w:rPr>
          <w:rFonts w:ascii="Calibri" w:eastAsia="Baskerville Old Face" w:hAnsi="Calibri" w:cs="Calibri"/>
          <w:b/>
          <w:bCs/>
        </w:rPr>
        <w:t>Coded Data:</w:t>
      </w:r>
      <w:r w:rsidR="233C2FD3" w:rsidRPr="00731597">
        <w:rPr>
          <w:rFonts w:ascii="Calibri" w:eastAsia="Baskerville Old Face" w:hAnsi="Calibri" w:cs="Calibri"/>
          <w:b/>
          <w:bCs/>
        </w:rPr>
        <w:t xml:space="preserve"> </w:t>
      </w:r>
      <w:r w:rsidR="69BB2593" w:rsidRPr="00731597">
        <w:rPr>
          <w:rFonts w:ascii="Calibri" w:eastAsia="Baskerville Old Face" w:hAnsi="Calibri" w:cs="Calibri"/>
        </w:rPr>
        <w:t>These d</w:t>
      </w:r>
      <w:r w:rsidRPr="00731597">
        <w:rPr>
          <w:rFonts w:ascii="Calibri" w:eastAsia="Baskerville Old Face" w:hAnsi="Calibri" w:cs="Calibri"/>
        </w:rPr>
        <w:t>ata</w:t>
      </w:r>
      <w:r w:rsidR="4EE1B4B7" w:rsidRPr="00731597">
        <w:rPr>
          <w:rFonts w:ascii="Calibri" w:eastAsia="Baskerville Old Face" w:hAnsi="Calibri" w:cs="Calibri"/>
        </w:rPr>
        <w:t xml:space="preserve"> </w:t>
      </w:r>
      <w:r w:rsidRPr="00731597">
        <w:rPr>
          <w:rFonts w:ascii="Calibri" w:eastAsia="Baskerville Old Face" w:hAnsi="Calibri" w:cs="Calibri"/>
        </w:rPr>
        <w:t xml:space="preserve">are coded when a link or key to the code exists, such as a number, letter, symbol, pseudonym, or any combination, that is linked to an individual participant’s identifiers. The code should not include information related to an individual, such as initials or </w:t>
      </w:r>
      <w:r w:rsidR="007B1469" w:rsidRPr="00731597">
        <w:rPr>
          <w:rFonts w:ascii="Calibri" w:eastAsia="Baskerville Old Face" w:hAnsi="Calibri" w:cs="Calibri"/>
        </w:rPr>
        <w:t>DOB</w:t>
      </w:r>
      <w:r w:rsidRPr="00731597">
        <w:rPr>
          <w:rFonts w:ascii="Calibri" w:eastAsia="Baskerville Old Face" w:hAnsi="Calibri" w:cs="Calibri"/>
        </w:rPr>
        <w:t>.</w:t>
      </w:r>
    </w:p>
    <w:p w14:paraId="57DEB7E3" w14:textId="4E526037" w:rsidR="65E7147E" w:rsidRPr="00731597" w:rsidRDefault="3F366971" w:rsidP="523F8DE7">
      <w:pPr>
        <w:pStyle w:val="ListParagraph"/>
        <w:numPr>
          <w:ilvl w:val="0"/>
          <w:numId w:val="1"/>
        </w:numPr>
        <w:spacing w:after="0" w:line="240" w:lineRule="auto"/>
        <w:rPr>
          <w:rFonts w:ascii="Calibri" w:eastAsia="Baskerville Old Face" w:hAnsi="Calibri" w:cs="Calibri"/>
        </w:rPr>
      </w:pPr>
      <w:r w:rsidRPr="00731597">
        <w:rPr>
          <w:rFonts w:ascii="Calibri" w:eastAsia="Baskerville Old Face" w:hAnsi="Calibri" w:cs="Calibri"/>
          <w:b/>
          <w:bCs/>
        </w:rPr>
        <w:t>Identifiable Private Information:</w:t>
      </w:r>
      <w:r w:rsidRPr="00731597">
        <w:rPr>
          <w:rFonts w:ascii="Calibri" w:eastAsia="Baskerville Old Face" w:hAnsi="Calibri" w:cs="Calibri"/>
        </w:rPr>
        <w:t xml:space="preserve"> </w:t>
      </w:r>
      <w:r w:rsidR="314924A3" w:rsidRPr="00731597">
        <w:rPr>
          <w:rFonts w:ascii="Calibri" w:eastAsia="Baskerville Old Face" w:hAnsi="Calibri" w:cs="Calibri"/>
        </w:rPr>
        <w:t xml:space="preserve">This </w:t>
      </w:r>
      <w:r w:rsidRPr="00731597">
        <w:rPr>
          <w:rFonts w:ascii="Calibri" w:eastAsia="Baskerville Old Face" w:hAnsi="Calibri" w:cs="Calibri"/>
        </w:rPr>
        <w:t>is private information for which the identity of the subject is or may readily be ascertained by the investigator or associated with the information.</w:t>
      </w:r>
    </w:p>
    <w:p w14:paraId="33113A55" w14:textId="5A6F78D9" w:rsidR="65E7147E" w:rsidRPr="00731597" w:rsidRDefault="2542409A" w:rsidP="523F8DE7">
      <w:pPr>
        <w:pStyle w:val="ListParagraph"/>
        <w:numPr>
          <w:ilvl w:val="0"/>
          <w:numId w:val="1"/>
        </w:numPr>
        <w:spacing w:after="0" w:line="240" w:lineRule="auto"/>
        <w:rPr>
          <w:rFonts w:ascii="Calibri" w:eastAsia="Baskerville Old Face" w:hAnsi="Calibri" w:cs="Calibri"/>
        </w:rPr>
      </w:pPr>
      <w:r w:rsidRPr="00731597">
        <w:rPr>
          <w:rFonts w:ascii="Calibri" w:eastAsia="Baskerville Old Face" w:hAnsi="Calibri" w:cs="Calibri"/>
          <w:b/>
          <w:bCs/>
        </w:rPr>
        <w:t>Private Information:</w:t>
      </w:r>
      <w:r w:rsidRPr="00731597">
        <w:rPr>
          <w:rFonts w:ascii="Calibri" w:eastAsia="Baskerville Old Face" w:hAnsi="Calibri" w:cs="Calibri"/>
        </w:rPr>
        <w:t xml:space="preserve"> </w:t>
      </w:r>
      <w:r w:rsidR="296A0E60" w:rsidRPr="00731597">
        <w:rPr>
          <w:rFonts w:ascii="Calibri" w:eastAsia="Baskerville Old Face" w:hAnsi="Calibri" w:cs="Calibri"/>
        </w:rPr>
        <w:t xml:space="preserve">This </w:t>
      </w:r>
      <w:r w:rsidRPr="00731597">
        <w:rPr>
          <w:rFonts w:ascii="Calibri" w:eastAsia="Baskerville Old Face" w:hAnsi="Calibri" w:cs="Calibri"/>
        </w:rPr>
        <w:t>includes information about behavior that occurs in a context in which an individual can reasonably expect that no observation or recording is taking place, and information that has been provided for specific purposes by an individual and that the individual can reasonably expect will not be made public (e.g., a medical record).</w:t>
      </w:r>
    </w:p>
    <w:p w14:paraId="68BD1435" w14:textId="18357B0A" w:rsidR="65E7147E" w:rsidRPr="00731597" w:rsidRDefault="07D8AA26" w:rsidP="523F8DE7">
      <w:pPr>
        <w:pStyle w:val="ListParagraph"/>
        <w:numPr>
          <w:ilvl w:val="0"/>
          <w:numId w:val="1"/>
        </w:numPr>
        <w:spacing w:after="0" w:line="240" w:lineRule="auto"/>
        <w:rPr>
          <w:rFonts w:ascii="Calibri" w:eastAsia="Baskerville Old Face" w:hAnsi="Calibri" w:cs="Calibri"/>
        </w:rPr>
      </w:pPr>
      <w:r w:rsidRPr="00731597">
        <w:rPr>
          <w:rFonts w:ascii="Calibri" w:eastAsia="Baskerville Old Face" w:hAnsi="Calibri" w:cs="Calibri"/>
          <w:b/>
          <w:bCs/>
        </w:rPr>
        <w:t>Protected Health Information</w:t>
      </w:r>
      <w:r w:rsidR="7A7D8B00" w:rsidRPr="00731597">
        <w:rPr>
          <w:rFonts w:ascii="Calibri" w:eastAsia="Baskerville Old Face" w:hAnsi="Calibri" w:cs="Calibri"/>
          <w:b/>
          <w:bCs/>
        </w:rPr>
        <w:t xml:space="preserve"> </w:t>
      </w:r>
      <w:r w:rsidRPr="00731597">
        <w:rPr>
          <w:rFonts w:ascii="Calibri" w:eastAsia="Baskerville Old Face" w:hAnsi="Calibri" w:cs="Calibri"/>
          <w:b/>
          <w:bCs/>
        </w:rPr>
        <w:t>(</w:t>
      </w:r>
      <w:r w:rsidR="10F8B380" w:rsidRPr="00731597">
        <w:rPr>
          <w:rFonts w:ascii="Calibri" w:eastAsia="Baskerville Old Face" w:hAnsi="Calibri" w:cs="Calibri"/>
          <w:b/>
          <w:bCs/>
        </w:rPr>
        <w:t>“</w:t>
      </w:r>
      <w:r w:rsidRPr="00731597">
        <w:rPr>
          <w:rFonts w:ascii="Calibri" w:eastAsia="Baskerville Old Face" w:hAnsi="Calibri" w:cs="Calibri"/>
          <w:b/>
          <w:bCs/>
        </w:rPr>
        <w:t>PHI</w:t>
      </w:r>
      <w:r w:rsidR="0BDA2D42" w:rsidRPr="00731597">
        <w:rPr>
          <w:rFonts w:ascii="Calibri" w:eastAsia="Baskerville Old Face" w:hAnsi="Calibri" w:cs="Calibri"/>
          <w:b/>
          <w:bCs/>
        </w:rPr>
        <w:t>”</w:t>
      </w:r>
      <w:r w:rsidRPr="00731597">
        <w:rPr>
          <w:rFonts w:ascii="Calibri" w:eastAsia="Baskerville Old Face" w:hAnsi="Calibri" w:cs="Calibri"/>
          <w:b/>
          <w:bCs/>
        </w:rPr>
        <w:t>)</w:t>
      </w:r>
      <w:r w:rsidRPr="00731597">
        <w:rPr>
          <w:rFonts w:ascii="Calibri" w:eastAsia="Baskerville Old Face" w:hAnsi="Calibri" w:cs="Calibri"/>
        </w:rPr>
        <w:t xml:space="preserve">: Individually identifiable health information, held or maintained by a covered entity or its business associates acting for the covered entity, that is transmitted or maintained in any form or medium. This includes identifiable demographic and other information relating to the past, present, or future physical or mental health or condition of an individual, or the provision or payment of health care to an individual that is created or received by a health care provider, health plan, employer, or health care clearinghouse. </w:t>
      </w:r>
      <w:r w:rsidR="7E4AC6E3" w:rsidRPr="00731597">
        <w:rPr>
          <w:rFonts w:ascii="Calibri" w:eastAsia="Baskerville Old Face" w:hAnsi="Calibri" w:cs="Calibri"/>
        </w:rPr>
        <w:t>Note that g</w:t>
      </w:r>
      <w:r w:rsidRPr="00731597">
        <w:rPr>
          <w:rFonts w:ascii="Calibri" w:eastAsia="Baskerville Old Face" w:hAnsi="Calibri" w:cs="Calibri"/>
        </w:rPr>
        <w:t xml:space="preserve">enetic information </w:t>
      </w:r>
      <w:proofErr w:type="gramStart"/>
      <w:r w:rsidRPr="00731597">
        <w:rPr>
          <w:rFonts w:ascii="Calibri" w:eastAsia="Baskerville Old Face" w:hAnsi="Calibri" w:cs="Calibri"/>
        </w:rPr>
        <w:t>is considered to be</w:t>
      </w:r>
      <w:proofErr w:type="gramEnd"/>
      <w:r w:rsidRPr="00731597">
        <w:rPr>
          <w:rFonts w:ascii="Calibri" w:eastAsia="Baskerville Old Face" w:hAnsi="Calibri" w:cs="Calibri"/>
        </w:rPr>
        <w:t xml:space="preserve"> health information. </w:t>
      </w:r>
    </w:p>
    <w:p w14:paraId="1E2F8D26" w14:textId="3DDE665B" w:rsidR="0DE4AA52" w:rsidRPr="00731597" w:rsidRDefault="097981EB" w:rsidP="523F8DE7">
      <w:pPr>
        <w:pStyle w:val="ListParagraph"/>
        <w:numPr>
          <w:ilvl w:val="0"/>
          <w:numId w:val="1"/>
        </w:numPr>
        <w:spacing w:after="0" w:line="240" w:lineRule="auto"/>
        <w:rPr>
          <w:rFonts w:ascii="Calibri" w:eastAsia="Baskerville Old Face" w:hAnsi="Calibri" w:cs="Calibri"/>
        </w:rPr>
      </w:pPr>
      <w:r w:rsidRPr="00731597">
        <w:rPr>
          <w:rFonts w:ascii="Calibri" w:eastAsia="Baskerville Old Face" w:hAnsi="Calibri" w:cs="Calibri"/>
          <w:b/>
          <w:bCs/>
        </w:rPr>
        <w:t>Sensitive Data:</w:t>
      </w:r>
      <w:r w:rsidRPr="00731597">
        <w:rPr>
          <w:rFonts w:ascii="Calibri" w:eastAsia="Baskerville Old Face" w:hAnsi="Calibri" w:cs="Calibri"/>
        </w:rPr>
        <w:t xml:space="preserve"> Th</w:t>
      </w:r>
      <w:r w:rsidR="41152593" w:rsidRPr="00731597">
        <w:rPr>
          <w:rFonts w:ascii="Calibri" w:eastAsia="Baskerville Old Face" w:hAnsi="Calibri" w:cs="Calibri"/>
        </w:rPr>
        <w:t>ese data include</w:t>
      </w:r>
      <w:r w:rsidRPr="00731597">
        <w:rPr>
          <w:rFonts w:ascii="Calibri" w:eastAsia="Baskerville Old Face" w:hAnsi="Calibri" w:cs="Calibri"/>
        </w:rPr>
        <w:t xml:space="preserve"> information related to alcohol or drug use, traumatic experiences, child/elder abuse, or illegal behavior, or where disclosure outside of the research study has the potential to place participants at risk of criminal or civil liability or be damaging to their financial standing, employability, educational advancement, or reputation.</w:t>
      </w:r>
    </w:p>
    <w:p w14:paraId="78D37391" w14:textId="5E967858" w:rsidR="65E7147E" w:rsidRPr="00731597" w:rsidRDefault="65E7147E" w:rsidP="523F8DE7">
      <w:pPr>
        <w:spacing w:after="0" w:line="240" w:lineRule="auto"/>
        <w:rPr>
          <w:rFonts w:ascii="Calibri" w:eastAsia="Baskerville Old Face" w:hAnsi="Calibri" w:cs="Calibri"/>
          <w:b/>
          <w:bCs/>
        </w:rPr>
      </w:pPr>
    </w:p>
    <w:p w14:paraId="3A744D5C" w14:textId="56BDFDD5" w:rsidR="65E7147E" w:rsidRPr="00731597" w:rsidRDefault="7B496BFF" w:rsidP="00731597">
      <w:pPr>
        <w:pStyle w:val="Heading2"/>
      </w:pPr>
      <w:r w:rsidRPr="00731597">
        <w:t>Transmission of Research Data</w:t>
      </w:r>
    </w:p>
    <w:p w14:paraId="36F08A48" w14:textId="20937256" w:rsidR="398E6DFA" w:rsidRPr="00731597" w:rsidRDefault="4C4925B8" w:rsidP="00731597">
      <w:pPr>
        <w:shd w:val="clear" w:color="auto" w:fill="FFFFFF" w:themeFill="background1"/>
        <w:spacing w:after="0" w:line="240" w:lineRule="auto"/>
        <w:rPr>
          <w:rFonts w:ascii="Calibri" w:eastAsia="Baskerville Old Face" w:hAnsi="Calibri" w:cs="Calibri"/>
        </w:rPr>
      </w:pPr>
      <w:r w:rsidRPr="00731597">
        <w:rPr>
          <w:rFonts w:ascii="Calibri" w:eastAsia="Baskerville Old Face" w:hAnsi="Calibri" w:cs="Calibri"/>
        </w:rPr>
        <w:t>Do not transmit</w:t>
      </w:r>
      <w:r w:rsidR="7B496BFF" w:rsidRPr="00731597">
        <w:rPr>
          <w:rFonts w:ascii="Calibri" w:eastAsia="Baskerville Old Face" w:hAnsi="Calibri" w:cs="Calibri"/>
        </w:rPr>
        <w:t xml:space="preserve"> identifiable datasets by e-mail due to the inherent risk of compromise. When e-mailing data that do not contain any personal identifiers, include </w:t>
      </w:r>
      <w:r w:rsidR="2DEAC7B1" w:rsidRPr="00731597">
        <w:rPr>
          <w:rFonts w:ascii="Calibri" w:eastAsia="Baskerville Old Face" w:hAnsi="Calibri" w:cs="Calibri"/>
        </w:rPr>
        <w:t>“</w:t>
      </w:r>
      <w:r w:rsidR="7B496BFF" w:rsidRPr="00731597">
        <w:rPr>
          <w:rFonts w:ascii="Calibri" w:eastAsia="Baskerville Old Face" w:hAnsi="Calibri" w:cs="Calibri"/>
        </w:rPr>
        <w:t>[encrypt]</w:t>
      </w:r>
      <w:r w:rsidR="705A6FBA" w:rsidRPr="00731597">
        <w:rPr>
          <w:rFonts w:ascii="Calibri" w:eastAsia="Baskerville Old Face" w:hAnsi="Calibri" w:cs="Calibri"/>
        </w:rPr>
        <w:t>”</w:t>
      </w:r>
      <w:r w:rsidR="7B496BFF" w:rsidRPr="00731597">
        <w:rPr>
          <w:rFonts w:ascii="Calibri" w:eastAsia="Baskerville Old Face" w:hAnsi="Calibri" w:cs="Calibri"/>
        </w:rPr>
        <w:t xml:space="preserve"> in the subject line of an e-mail when sending from a CSCU email account. </w:t>
      </w:r>
      <w:r w:rsidR="73AEC038" w:rsidRPr="00731597">
        <w:rPr>
          <w:rFonts w:ascii="Calibri" w:eastAsia="Baskerville Old Face" w:hAnsi="Calibri" w:cs="Calibri"/>
        </w:rPr>
        <w:t>Compromised e-mails</w:t>
      </w:r>
      <w:r w:rsidR="7B496BFF" w:rsidRPr="00731597">
        <w:rPr>
          <w:rFonts w:ascii="Calibri" w:eastAsia="Baskerville Old Face" w:hAnsi="Calibri" w:cs="Calibri"/>
        </w:rPr>
        <w:t xml:space="preserve"> could place data at risk and result in loss of confidentiality for research participants. Identifiable data should be transmitted via a secure service</w:t>
      </w:r>
      <w:r w:rsidR="7DE3E20D" w:rsidRPr="00731597">
        <w:rPr>
          <w:rFonts w:ascii="Calibri" w:eastAsia="Baskerville Old Face" w:hAnsi="Calibri" w:cs="Calibri"/>
        </w:rPr>
        <w:t xml:space="preserve"> </w:t>
      </w:r>
      <w:r w:rsidR="7B496BFF" w:rsidRPr="00731597">
        <w:rPr>
          <w:rFonts w:ascii="Calibri" w:eastAsia="Baskerville Old Face" w:hAnsi="Calibri" w:cs="Calibri"/>
        </w:rPr>
        <w:t>or by using secure protocols such as a File Transfer Protocol</w:t>
      </w:r>
      <w:r w:rsidR="42DCDEE8" w:rsidRPr="00731597">
        <w:rPr>
          <w:rFonts w:ascii="Calibri" w:eastAsia="Baskerville Old Face" w:hAnsi="Calibri" w:cs="Calibri"/>
        </w:rPr>
        <w:t xml:space="preserve"> Secure</w:t>
      </w:r>
      <w:r w:rsidR="7B496BFF" w:rsidRPr="00731597">
        <w:rPr>
          <w:rFonts w:ascii="Calibri" w:eastAsia="Baskerville Old Face" w:hAnsi="Calibri" w:cs="Calibri"/>
        </w:rPr>
        <w:t xml:space="preserve"> (</w:t>
      </w:r>
      <w:r w:rsidR="47EAA915" w:rsidRPr="00731597">
        <w:rPr>
          <w:rFonts w:ascii="Calibri" w:eastAsia="Baskerville Old Face" w:hAnsi="Calibri" w:cs="Calibri"/>
        </w:rPr>
        <w:t>“</w:t>
      </w:r>
      <w:r w:rsidR="7B496BFF" w:rsidRPr="00731597">
        <w:rPr>
          <w:rFonts w:ascii="Calibri" w:eastAsia="Baskerville Old Face" w:hAnsi="Calibri" w:cs="Calibri"/>
        </w:rPr>
        <w:t>FTPS</w:t>
      </w:r>
      <w:r w:rsidR="5BB243D4" w:rsidRPr="00731597">
        <w:rPr>
          <w:rFonts w:ascii="Calibri" w:eastAsia="Baskerville Old Face" w:hAnsi="Calibri" w:cs="Calibri"/>
        </w:rPr>
        <w:t>”</w:t>
      </w:r>
      <w:r w:rsidR="7B496BFF" w:rsidRPr="00731597">
        <w:rPr>
          <w:rFonts w:ascii="Calibri" w:eastAsia="Baskerville Old Face" w:hAnsi="Calibri" w:cs="Calibri"/>
        </w:rPr>
        <w:t>).</w:t>
      </w:r>
    </w:p>
    <w:p w14:paraId="601AA472" w14:textId="61DE70FB" w:rsidR="65E7147E" w:rsidRPr="00731597" w:rsidRDefault="65E7147E" w:rsidP="523F8DE7">
      <w:pPr>
        <w:spacing w:after="0" w:line="240" w:lineRule="auto"/>
        <w:rPr>
          <w:rFonts w:ascii="Calibri" w:eastAsia="Baskerville Old Face" w:hAnsi="Calibri" w:cs="Calibri"/>
          <w:color w:val="000000" w:themeColor="text1"/>
        </w:rPr>
      </w:pPr>
    </w:p>
    <w:p w14:paraId="297ABDDF" w14:textId="70BEDD07" w:rsidR="00E97543" w:rsidRPr="00731597" w:rsidRDefault="6014826A" w:rsidP="00731597">
      <w:pPr>
        <w:pStyle w:val="Heading2"/>
        <w:rPr>
          <w:rFonts w:eastAsia="Baskerville Old Face"/>
          <w:b w:val="0"/>
        </w:rPr>
      </w:pPr>
      <w:r w:rsidRPr="00731597">
        <w:rPr>
          <w:rFonts w:eastAsia="Baskerville Old Face"/>
        </w:rPr>
        <w:t>Online Data Collection Software</w:t>
      </w:r>
    </w:p>
    <w:p w14:paraId="1F7FA13F" w14:textId="54E1D916" w:rsidR="00E97543" w:rsidRPr="00731597" w:rsidRDefault="0F4ABA69" w:rsidP="00731597">
      <w:pPr>
        <w:spacing w:after="0" w:line="240" w:lineRule="auto"/>
        <w:jc w:val="both"/>
        <w:rPr>
          <w:rFonts w:ascii="Calibri" w:eastAsia="Baskerville Old Face" w:hAnsi="Calibri" w:cs="Calibri"/>
          <w:color w:val="000000" w:themeColor="text1"/>
        </w:rPr>
      </w:pPr>
      <w:r w:rsidRPr="00731597">
        <w:rPr>
          <w:rFonts w:ascii="Calibri" w:eastAsia="Baskerville Old Face" w:hAnsi="Calibri" w:cs="Calibri"/>
          <w:color w:val="000000" w:themeColor="text1"/>
        </w:rPr>
        <w:t>For international research, investigators are cautioned that standards</w:t>
      </w:r>
      <w:r w:rsidR="75007690" w:rsidRPr="00731597">
        <w:rPr>
          <w:rFonts w:ascii="Calibri" w:eastAsia="Baskerville Old Face" w:hAnsi="Calibri" w:cs="Calibri"/>
          <w:color w:val="000000" w:themeColor="text1"/>
        </w:rPr>
        <w:t xml:space="preserve"> for handling data about people</w:t>
      </w:r>
      <w:r w:rsidRPr="00731597">
        <w:rPr>
          <w:rFonts w:ascii="Calibri" w:eastAsia="Baskerville Old Face" w:hAnsi="Calibri" w:cs="Calibri"/>
          <w:color w:val="000000" w:themeColor="text1"/>
        </w:rPr>
        <w:t xml:space="preserve"> vary from country to country and that there are legal restrictions regarding the export of certain encryption software outside U</w:t>
      </w:r>
      <w:r w:rsidR="053BA5E0" w:rsidRPr="00731597">
        <w:rPr>
          <w:rFonts w:ascii="Calibri" w:eastAsia="Baskerville Old Face" w:hAnsi="Calibri" w:cs="Calibri"/>
          <w:color w:val="000000" w:themeColor="text1"/>
        </w:rPr>
        <w:t xml:space="preserve">nited States </w:t>
      </w:r>
      <w:r w:rsidRPr="00731597">
        <w:rPr>
          <w:rFonts w:ascii="Calibri" w:eastAsia="Baskerville Old Face" w:hAnsi="Calibri" w:cs="Calibri"/>
          <w:color w:val="000000" w:themeColor="text1"/>
        </w:rPr>
        <w:t xml:space="preserve">boundaries. Similarly, data privacy regulations vary between states. Investigators are responsible for understanding the data privacy laws where data collection occurs </w:t>
      </w:r>
      <w:r w:rsidR="04D7C46B" w:rsidRPr="00731597">
        <w:rPr>
          <w:rFonts w:ascii="Calibri" w:eastAsia="Baskerville Old Face" w:hAnsi="Calibri" w:cs="Calibri"/>
          <w:color w:val="000000" w:themeColor="text1"/>
        </w:rPr>
        <w:t>for</w:t>
      </w:r>
      <w:r w:rsidRPr="00731597">
        <w:rPr>
          <w:rFonts w:ascii="Calibri" w:eastAsia="Baskerville Old Face" w:hAnsi="Calibri" w:cs="Calibri"/>
          <w:color w:val="000000" w:themeColor="text1"/>
        </w:rPr>
        <w:t xml:space="preserve"> their </w:t>
      </w:r>
      <w:r w:rsidR="68C1E621" w:rsidRPr="00731597">
        <w:rPr>
          <w:rFonts w:ascii="Calibri" w:eastAsia="Baskerville Old Face" w:hAnsi="Calibri" w:cs="Calibri"/>
          <w:color w:val="000000" w:themeColor="text1"/>
        </w:rPr>
        <w:t>research study</w:t>
      </w:r>
      <w:r w:rsidR="64DF5C6A" w:rsidRPr="00731597">
        <w:rPr>
          <w:rFonts w:ascii="Calibri" w:eastAsia="Baskerville Old Face" w:hAnsi="Calibri" w:cs="Calibri"/>
          <w:color w:val="000000" w:themeColor="text1"/>
        </w:rPr>
        <w:t xml:space="preserve"> and providing it to the IRB</w:t>
      </w:r>
      <w:r w:rsidRPr="00731597">
        <w:rPr>
          <w:rFonts w:ascii="Calibri" w:eastAsia="Baskerville Old Face" w:hAnsi="Calibri" w:cs="Calibri"/>
          <w:color w:val="000000" w:themeColor="text1"/>
        </w:rPr>
        <w:t>.</w:t>
      </w:r>
      <w:r w:rsidR="3392BE5B" w:rsidRPr="00731597">
        <w:rPr>
          <w:rFonts w:ascii="Calibri" w:eastAsia="Baskerville Old Face" w:hAnsi="Calibri" w:cs="Calibri"/>
          <w:color w:val="000000" w:themeColor="text1"/>
        </w:rPr>
        <w:t xml:space="preserve"> To conduct surveys, investigators must use CSCU</w:t>
      </w:r>
      <w:r w:rsidR="72B87F41" w:rsidRPr="00731597">
        <w:rPr>
          <w:rFonts w:ascii="Calibri" w:eastAsia="Baskerville Old Face" w:hAnsi="Calibri" w:cs="Calibri"/>
          <w:color w:val="000000" w:themeColor="text1"/>
        </w:rPr>
        <w:t>-</w:t>
      </w:r>
      <w:r w:rsidR="3392BE5B" w:rsidRPr="00731597">
        <w:rPr>
          <w:rFonts w:ascii="Calibri" w:eastAsia="Baskerville Old Face" w:hAnsi="Calibri" w:cs="Calibri"/>
          <w:color w:val="000000" w:themeColor="text1"/>
        </w:rPr>
        <w:t>approved and licensed applications.</w:t>
      </w:r>
    </w:p>
    <w:p w14:paraId="62305D43" w14:textId="49856BB4" w:rsidR="00E97543" w:rsidRPr="00731597" w:rsidRDefault="00E97543" w:rsidP="523F8DE7">
      <w:pPr>
        <w:spacing w:after="0" w:line="240" w:lineRule="auto"/>
        <w:jc w:val="both"/>
        <w:rPr>
          <w:rFonts w:ascii="Calibri" w:eastAsia="Baskerville Old Face" w:hAnsi="Calibri" w:cs="Calibri"/>
          <w:color w:val="000000" w:themeColor="text1"/>
        </w:rPr>
      </w:pPr>
    </w:p>
    <w:p w14:paraId="658305EE" w14:textId="33D76FC8" w:rsidR="00E97543" w:rsidRPr="00731597" w:rsidRDefault="0F4ABA69" w:rsidP="00731597">
      <w:pPr>
        <w:pStyle w:val="Heading2"/>
        <w:rPr>
          <w:rFonts w:eastAsia="Baskerville Old Face"/>
          <w:b w:val="0"/>
        </w:rPr>
      </w:pPr>
      <w:r w:rsidRPr="00731597">
        <w:rPr>
          <w:rFonts w:eastAsia="Baskerville Old Face"/>
        </w:rPr>
        <w:t>Data Storage</w:t>
      </w:r>
      <w:r w:rsidR="354A23C3" w:rsidRPr="00731597">
        <w:rPr>
          <w:rFonts w:eastAsia="Baskerville Old Face"/>
        </w:rPr>
        <w:t xml:space="preserve"> and </w:t>
      </w:r>
      <w:r w:rsidRPr="00731597">
        <w:rPr>
          <w:rFonts w:eastAsia="Baskerville Old Face"/>
        </w:rPr>
        <w:t>Disposal</w:t>
      </w:r>
    </w:p>
    <w:p w14:paraId="21AE4EAB" w14:textId="3540A0B2" w:rsidR="762FC366" w:rsidRPr="00731597" w:rsidRDefault="6014826A" w:rsidP="00731597">
      <w:pPr>
        <w:spacing w:after="0" w:line="240" w:lineRule="auto"/>
        <w:jc w:val="both"/>
        <w:rPr>
          <w:rFonts w:ascii="Calibri" w:eastAsia="Baskerville Old Face" w:hAnsi="Calibri" w:cs="Calibri"/>
          <w:color w:val="000000" w:themeColor="text1"/>
        </w:rPr>
      </w:pPr>
      <w:r w:rsidRPr="00731597">
        <w:rPr>
          <w:rFonts w:ascii="Calibri" w:eastAsia="Baskerville Old Face" w:hAnsi="Calibri" w:cs="Calibri"/>
          <w:color w:val="000000" w:themeColor="text1"/>
        </w:rPr>
        <w:t xml:space="preserve"> </w:t>
      </w:r>
      <w:r w:rsidR="0F4ABA69" w:rsidRPr="00731597">
        <w:rPr>
          <w:rFonts w:ascii="Calibri" w:eastAsia="Baskerville Old Face" w:hAnsi="Calibri" w:cs="Calibri"/>
          <w:color w:val="000000" w:themeColor="text1"/>
        </w:rPr>
        <w:t xml:space="preserve">If a server is used for data storage, personal identifying information should be kept separate from the data. </w:t>
      </w:r>
      <w:r w:rsidR="003F1245" w:rsidRPr="00731597">
        <w:rPr>
          <w:rFonts w:ascii="Calibri" w:eastAsia="Baskerville Old Face" w:hAnsi="Calibri" w:cs="Calibri"/>
          <w:color w:val="000000" w:themeColor="text1"/>
        </w:rPr>
        <w:t xml:space="preserve">Any autosaving to the cloud must be disclosed to the IRB and </w:t>
      </w:r>
      <w:r w:rsidR="00F00871" w:rsidRPr="00731597">
        <w:rPr>
          <w:rFonts w:ascii="Calibri" w:eastAsia="Baskerville Old Face" w:hAnsi="Calibri" w:cs="Calibri"/>
          <w:color w:val="000000" w:themeColor="text1"/>
        </w:rPr>
        <w:t xml:space="preserve">the </w:t>
      </w:r>
      <w:r w:rsidR="003F1245" w:rsidRPr="00731597">
        <w:rPr>
          <w:rFonts w:ascii="Calibri" w:eastAsia="Baskerville Old Face" w:hAnsi="Calibri" w:cs="Calibri"/>
          <w:color w:val="000000" w:themeColor="text1"/>
        </w:rPr>
        <w:t xml:space="preserve">participants. </w:t>
      </w:r>
      <w:r w:rsidR="0F4ABA69" w:rsidRPr="00731597">
        <w:rPr>
          <w:rFonts w:ascii="Calibri" w:eastAsia="Baskerville Old Face" w:hAnsi="Calibri" w:cs="Calibri"/>
          <w:color w:val="000000" w:themeColor="text1"/>
        </w:rPr>
        <w:t xml:space="preserve">It is recommended that competent data destruction services be used to ensure that no data can be recovered from obsolete electronic media. Researchers must adhere to </w:t>
      </w:r>
      <w:hyperlink r:id="rId14">
        <w:r w:rsidR="152D1EAB" w:rsidRPr="00731597">
          <w:rPr>
            <w:rStyle w:val="Hyperlink"/>
            <w:rFonts w:ascii="Calibri" w:eastAsia="Baskerville Old Face" w:hAnsi="Calibri" w:cs="Calibri"/>
          </w:rPr>
          <w:t>CSCU IT policies</w:t>
        </w:r>
      </w:hyperlink>
      <w:r w:rsidR="152D1EAB" w:rsidRPr="00731597">
        <w:rPr>
          <w:rFonts w:ascii="Calibri" w:eastAsia="Baskerville Old Face" w:hAnsi="Calibri" w:cs="Calibri"/>
          <w:color w:val="000000" w:themeColor="text1"/>
        </w:rPr>
        <w:t xml:space="preserve"> and </w:t>
      </w:r>
      <w:hyperlink r:id="rId15">
        <w:r w:rsidR="152D1EAB" w:rsidRPr="00731597">
          <w:rPr>
            <w:rStyle w:val="Hyperlink"/>
            <w:rFonts w:ascii="Calibri" w:eastAsia="Baskerville Old Face" w:hAnsi="Calibri" w:cs="Calibri"/>
          </w:rPr>
          <w:t>CSCU data privacy guidelines</w:t>
        </w:r>
      </w:hyperlink>
      <w:r w:rsidR="0F4ABA69" w:rsidRPr="00731597">
        <w:rPr>
          <w:rFonts w:ascii="Calibri" w:eastAsia="Baskerville Old Face" w:hAnsi="Calibri" w:cs="Calibri"/>
          <w:color w:val="000000" w:themeColor="text1"/>
        </w:rPr>
        <w:t xml:space="preserve">. As a reminder, federal regulations require human </w:t>
      </w:r>
      <w:r w:rsidR="00F00871" w:rsidRPr="00731597">
        <w:rPr>
          <w:rFonts w:ascii="Calibri" w:eastAsia="Baskerville Old Face" w:hAnsi="Calibri" w:cs="Calibri"/>
          <w:color w:val="000000" w:themeColor="text1"/>
        </w:rPr>
        <w:t>subjects’</w:t>
      </w:r>
      <w:r w:rsidR="0F4ABA69" w:rsidRPr="00731597">
        <w:rPr>
          <w:rFonts w:ascii="Calibri" w:eastAsia="Baskerville Old Face" w:hAnsi="Calibri" w:cs="Calibri"/>
          <w:color w:val="000000" w:themeColor="text1"/>
        </w:rPr>
        <w:t xml:space="preserve"> records be retained for at least </w:t>
      </w:r>
      <w:r w:rsidR="7FB29F60" w:rsidRPr="00731597">
        <w:rPr>
          <w:rFonts w:ascii="Calibri" w:eastAsia="Baskerville Old Face" w:hAnsi="Calibri" w:cs="Calibri"/>
          <w:color w:val="000000" w:themeColor="text1"/>
        </w:rPr>
        <w:t>three (</w:t>
      </w:r>
      <w:r w:rsidR="0F4ABA69" w:rsidRPr="00731597">
        <w:rPr>
          <w:rFonts w:ascii="Calibri" w:eastAsia="Baskerville Old Face" w:hAnsi="Calibri" w:cs="Calibri"/>
          <w:color w:val="000000" w:themeColor="text1"/>
        </w:rPr>
        <w:t>3</w:t>
      </w:r>
      <w:r w:rsidR="2D1C64D8" w:rsidRPr="00731597">
        <w:rPr>
          <w:rFonts w:ascii="Calibri" w:eastAsia="Baskerville Old Face" w:hAnsi="Calibri" w:cs="Calibri"/>
          <w:color w:val="000000" w:themeColor="text1"/>
        </w:rPr>
        <w:t>)</w:t>
      </w:r>
      <w:r w:rsidR="0F4ABA69" w:rsidRPr="00731597">
        <w:rPr>
          <w:rFonts w:ascii="Calibri" w:eastAsia="Baskerville Old Face" w:hAnsi="Calibri" w:cs="Calibri"/>
          <w:color w:val="000000" w:themeColor="text1"/>
        </w:rPr>
        <w:t xml:space="preserve"> years after completion of the research</w:t>
      </w:r>
      <w:r w:rsidR="4DE87498" w:rsidRPr="00731597">
        <w:rPr>
          <w:rFonts w:ascii="Calibri" w:eastAsia="Baskerville Old Face" w:hAnsi="Calibri" w:cs="Calibri"/>
          <w:color w:val="000000" w:themeColor="text1"/>
        </w:rPr>
        <w:t xml:space="preserve"> study</w:t>
      </w:r>
      <w:r w:rsidR="0F4ABA69" w:rsidRPr="00731597">
        <w:rPr>
          <w:rFonts w:ascii="Calibri" w:eastAsia="Baskerville Old Face" w:hAnsi="Calibri" w:cs="Calibri"/>
          <w:color w:val="000000" w:themeColor="text1"/>
        </w:rPr>
        <w:t>.</w:t>
      </w:r>
      <w:r w:rsidR="482C15C7" w:rsidRPr="00731597">
        <w:rPr>
          <w:rFonts w:ascii="Calibri" w:eastAsia="Baskerville Old Face" w:hAnsi="Calibri" w:cs="Calibri"/>
          <w:color w:val="000000" w:themeColor="text1"/>
        </w:rPr>
        <w:t xml:space="preserve"> </w:t>
      </w:r>
    </w:p>
    <w:p w14:paraId="4CE97A7C" w14:textId="77777777" w:rsidR="00AF429D" w:rsidRPr="00731597" w:rsidRDefault="00AF429D" w:rsidP="00AF429D">
      <w:pPr>
        <w:spacing w:after="0" w:line="240" w:lineRule="auto"/>
        <w:jc w:val="both"/>
        <w:rPr>
          <w:rFonts w:ascii="Calibri" w:eastAsia="Baskerville Old Face" w:hAnsi="Calibri" w:cs="Calibri"/>
          <w:color w:val="000000" w:themeColor="text1"/>
        </w:rPr>
      </w:pPr>
    </w:p>
    <w:p w14:paraId="24380CD6" w14:textId="328778C7" w:rsidR="00AF429D" w:rsidRPr="00731597" w:rsidRDefault="00AF429D" w:rsidP="00731597">
      <w:pPr>
        <w:pStyle w:val="Heading2"/>
        <w:rPr>
          <w:rFonts w:eastAsia="Baskerville Old Face"/>
          <w:b w:val="0"/>
        </w:rPr>
      </w:pPr>
      <w:r w:rsidRPr="00731597">
        <w:rPr>
          <w:rFonts w:eastAsia="Baskerville Old Face"/>
        </w:rPr>
        <w:lastRenderedPageBreak/>
        <w:t>Artificial Intelligence (“AI”)</w:t>
      </w:r>
    </w:p>
    <w:p w14:paraId="7FD13E82" w14:textId="47C6C42D" w:rsidR="00AF429D" w:rsidRPr="00731597" w:rsidRDefault="00754632" w:rsidP="00DB03B6">
      <w:pPr>
        <w:spacing w:after="0" w:line="240" w:lineRule="auto"/>
        <w:jc w:val="both"/>
        <w:rPr>
          <w:rFonts w:ascii="Calibri" w:eastAsia="Baskerville Old Face" w:hAnsi="Calibri" w:cs="Calibri"/>
          <w:color w:val="000000" w:themeColor="text1"/>
        </w:rPr>
      </w:pPr>
      <w:r w:rsidRPr="00731597">
        <w:rPr>
          <w:rFonts w:ascii="Calibri" w:eastAsia="Baskerville Old Face" w:hAnsi="Calibri" w:cs="Calibri"/>
          <w:color w:val="000000" w:themeColor="text1"/>
        </w:rPr>
        <w:t xml:space="preserve">The PI is required to disclose the use of artificial intelligence (“AI”) to the IRB and </w:t>
      </w:r>
      <w:r w:rsidR="00610BEB" w:rsidRPr="00731597">
        <w:rPr>
          <w:rFonts w:ascii="Calibri" w:eastAsia="Baskerville Old Face" w:hAnsi="Calibri" w:cs="Calibri"/>
          <w:color w:val="000000" w:themeColor="text1"/>
        </w:rPr>
        <w:t xml:space="preserve">the </w:t>
      </w:r>
      <w:r w:rsidRPr="00731597">
        <w:rPr>
          <w:rFonts w:ascii="Calibri" w:eastAsia="Baskerville Old Face" w:hAnsi="Calibri" w:cs="Calibri"/>
          <w:color w:val="000000" w:themeColor="text1"/>
        </w:rPr>
        <w:t>participants in their application and informed consent form, respectively.</w:t>
      </w:r>
      <w:r w:rsidR="00610BEB" w:rsidRPr="00731597">
        <w:rPr>
          <w:rFonts w:ascii="Calibri" w:eastAsia="Baskerville Old Face" w:hAnsi="Calibri" w:cs="Calibri"/>
          <w:color w:val="000000" w:themeColor="text1"/>
        </w:rPr>
        <w:t xml:space="preserve"> AI technologies used in studies are intended to assist researchers and should not replace human judgment or investigator oversight. AI systems may produce inaccurate, incomplete, inconsistent, or biased outputs; therefore, researchers are required to </w:t>
      </w:r>
      <w:r w:rsidR="00F00871" w:rsidRPr="00731597">
        <w:rPr>
          <w:rFonts w:ascii="Calibri" w:eastAsia="Baskerville Old Face" w:hAnsi="Calibri" w:cs="Calibri"/>
          <w:color w:val="000000" w:themeColor="text1"/>
        </w:rPr>
        <w:t xml:space="preserve">closely </w:t>
      </w:r>
      <w:r w:rsidR="00610BEB" w:rsidRPr="00731597">
        <w:rPr>
          <w:rFonts w:ascii="Calibri" w:eastAsia="Baskerville Old Face" w:hAnsi="Calibri" w:cs="Calibri"/>
          <w:color w:val="000000" w:themeColor="text1"/>
        </w:rPr>
        <w:t>monitor the</w:t>
      </w:r>
      <w:r w:rsidR="00F00871" w:rsidRPr="00731597">
        <w:rPr>
          <w:rFonts w:ascii="Calibri" w:eastAsia="Baskerville Old Face" w:hAnsi="Calibri" w:cs="Calibri"/>
          <w:color w:val="000000" w:themeColor="text1"/>
        </w:rPr>
        <w:t xml:space="preserve"> </w:t>
      </w:r>
      <w:r w:rsidR="00610BEB" w:rsidRPr="00731597">
        <w:rPr>
          <w:rFonts w:ascii="Calibri" w:eastAsia="Baskerville Old Face" w:hAnsi="Calibri" w:cs="Calibri"/>
          <w:color w:val="000000" w:themeColor="text1"/>
        </w:rPr>
        <w:t>study procedures. Also, identifiable information should not knowingly be entered into publicly available AI systems unless specifically described in th</w:t>
      </w:r>
      <w:r w:rsidR="00F00871" w:rsidRPr="00731597">
        <w:rPr>
          <w:rFonts w:ascii="Calibri" w:eastAsia="Baskerville Old Face" w:hAnsi="Calibri" w:cs="Calibri"/>
          <w:color w:val="000000" w:themeColor="text1"/>
        </w:rPr>
        <w:t>e informed</w:t>
      </w:r>
      <w:r w:rsidR="00610BEB" w:rsidRPr="00731597">
        <w:rPr>
          <w:rFonts w:ascii="Calibri" w:eastAsia="Baskerville Old Face" w:hAnsi="Calibri" w:cs="Calibri"/>
          <w:color w:val="000000" w:themeColor="text1"/>
        </w:rPr>
        <w:t xml:space="preserve"> consent form.</w:t>
      </w:r>
    </w:p>
    <w:sectPr w:rsidR="00AF429D" w:rsidRPr="00731597" w:rsidSect="00731597">
      <w:headerReference w:type="default" r:id="rId16"/>
      <w:footerReference w:type="default" r:id="rId17"/>
      <w:pgSz w:w="12240" w:h="15840"/>
      <w:pgMar w:top="1440" w:right="1440" w:bottom="130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05FEE1" w14:textId="77777777" w:rsidR="00A81AC3" w:rsidRDefault="00A81AC3">
      <w:pPr>
        <w:spacing w:after="0" w:line="240" w:lineRule="auto"/>
      </w:pPr>
      <w:r>
        <w:separator/>
      </w:r>
    </w:p>
  </w:endnote>
  <w:endnote w:type="continuationSeparator" w:id="0">
    <w:p w14:paraId="71FE4A32" w14:textId="77777777" w:rsidR="00A81AC3" w:rsidRDefault="00A81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5E7147E" w:rsidRPr="00DB03B6" w14:paraId="1D82BE3E" w14:textId="77777777" w:rsidTr="523F8DE7">
      <w:trPr>
        <w:trHeight w:val="300"/>
      </w:trPr>
      <w:tc>
        <w:tcPr>
          <w:tcW w:w="3120" w:type="dxa"/>
        </w:tcPr>
        <w:p w14:paraId="1FE92F06" w14:textId="36734268" w:rsidR="65E7147E" w:rsidRPr="00DB03B6" w:rsidRDefault="65E7147E" w:rsidP="523F8DE7">
          <w:pPr>
            <w:pStyle w:val="Header"/>
            <w:ind w:left="-115"/>
            <w:rPr>
              <w:rFonts w:ascii="Baskerville Old Face" w:eastAsia="Baskerville Old Face" w:hAnsi="Baskerville Old Face" w:cs="Baskerville Old Face"/>
            </w:rPr>
          </w:pPr>
        </w:p>
      </w:tc>
      <w:tc>
        <w:tcPr>
          <w:tcW w:w="3120" w:type="dxa"/>
        </w:tcPr>
        <w:p w14:paraId="6EF74E0A" w14:textId="1FF7E444" w:rsidR="65E7147E" w:rsidRPr="00DB03B6" w:rsidRDefault="65E7147E" w:rsidP="523F8DE7">
          <w:pPr>
            <w:pStyle w:val="Header"/>
            <w:jc w:val="center"/>
            <w:rPr>
              <w:rFonts w:ascii="Baskerville Old Face" w:eastAsia="Baskerville Old Face" w:hAnsi="Baskerville Old Face" w:cs="Baskerville Old Face"/>
            </w:rPr>
          </w:pPr>
          <w:r w:rsidRPr="00DB03B6">
            <w:rPr>
              <w:rFonts w:ascii="Baskerville Old Face" w:eastAsia="Baskerville Old Face" w:hAnsi="Baskerville Old Face" w:cs="Baskerville Old Face"/>
            </w:rPr>
            <w:fldChar w:fldCharType="begin"/>
          </w:r>
          <w:r w:rsidRPr="00DB03B6">
            <w:rPr>
              <w:rFonts w:ascii="Baskerville Old Face" w:hAnsi="Baskerville Old Face"/>
            </w:rPr>
            <w:instrText>PAGE</w:instrText>
          </w:r>
          <w:r w:rsidRPr="00DB03B6">
            <w:rPr>
              <w:rFonts w:ascii="Baskerville Old Face" w:hAnsi="Baskerville Old Face"/>
            </w:rPr>
            <w:fldChar w:fldCharType="separate"/>
          </w:r>
          <w:r w:rsidR="00AC7A25" w:rsidRPr="00DB03B6">
            <w:rPr>
              <w:rFonts w:ascii="Baskerville Old Face" w:hAnsi="Baskerville Old Face"/>
              <w:noProof/>
            </w:rPr>
            <w:t>1</w:t>
          </w:r>
          <w:r w:rsidRPr="00DB03B6">
            <w:rPr>
              <w:rFonts w:ascii="Baskerville Old Face" w:eastAsia="Baskerville Old Face" w:hAnsi="Baskerville Old Face" w:cs="Baskerville Old Face"/>
            </w:rPr>
            <w:fldChar w:fldCharType="end"/>
          </w:r>
          <w:r w:rsidR="523F8DE7" w:rsidRPr="00DB03B6">
            <w:rPr>
              <w:rFonts w:ascii="Baskerville Old Face" w:eastAsia="Baskerville Old Face" w:hAnsi="Baskerville Old Face" w:cs="Baskerville Old Face"/>
            </w:rPr>
            <w:t xml:space="preserve"> of </w:t>
          </w:r>
          <w:r w:rsidRPr="00DB03B6">
            <w:rPr>
              <w:rFonts w:ascii="Baskerville Old Face" w:eastAsia="Baskerville Old Face" w:hAnsi="Baskerville Old Face" w:cs="Baskerville Old Face"/>
            </w:rPr>
            <w:fldChar w:fldCharType="begin"/>
          </w:r>
          <w:r w:rsidRPr="00DB03B6">
            <w:rPr>
              <w:rFonts w:ascii="Baskerville Old Face" w:hAnsi="Baskerville Old Face"/>
            </w:rPr>
            <w:instrText>NUMPAGES</w:instrText>
          </w:r>
          <w:r w:rsidRPr="00DB03B6">
            <w:rPr>
              <w:rFonts w:ascii="Baskerville Old Face" w:hAnsi="Baskerville Old Face"/>
            </w:rPr>
            <w:fldChar w:fldCharType="separate"/>
          </w:r>
          <w:r w:rsidR="00AC7A25" w:rsidRPr="00DB03B6">
            <w:rPr>
              <w:rFonts w:ascii="Baskerville Old Face" w:hAnsi="Baskerville Old Face"/>
              <w:noProof/>
            </w:rPr>
            <w:t>2</w:t>
          </w:r>
          <w:r w:rsidRPr="00DB03B6">
            <w:rPr>
              <w:rFonts w:ascii="Baskerville Old Face" w:eastAsia="Baskerville Old Face" w:hAnsi="Baskerville Old Face" w:cs="Baskerville Old Face"/>
            </w:rPr>
            <w:fldChar w:fldCharType="end"/>
          </w:r>
        </w:p>
      </w:tc>
      <w:tc>
        <w:tcPr>
          <w:tcW w:w="3120" w:type="dxa"/>
        </w:tcPr>
        <w:p w14:paraId="15CB6916" w14:textId="6A584BA4" w:rsidR="65E7147E" w:rsidRPr="00DB03B6" w:rsidRDefault="65E7147E" w:rsidP="523F8DE7">
          <w:pPr>
            <w:pStyle w:val="Header"/>
            <w:ind w:right="-115"/>
            <w:jc w:val="right"/>
            <w:rPr>
              <w:rFonts w:ascii="Baskerville Old Face" w:eastAsia="Baskerville Old Face" w:hAnsi="Baskerville Old Face" w:cs="Baskerville Old Face"/>
            </w:rPr>
          </w:pPr>
        </w:p>
      </w:tc>
    </w:tr>
  </w:tbl>
  <w:p w14:paraId="468DB217" w14:textId="0C2C9BDB" w:rsidR="65E7147E" w:rsidRPr="00DB03B6" w:rsidRDefault="65E7147E" w:rsidP="523F8DE7">
    <w:pPr>
      <w:pStyle w:val="Footer"/>
      <w:rPr>
        <w:rFonts w:ascii="Baskerville Old Face" w:eastAsia="Baskerville Old Face" w:hAnsi="Baskerville Old Face" w:cs="Baskerville Old Fac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65E44A" w14:textId="77777777" w:rsidR="00A81AC3" w:rsidRDefault="00A81AC3">
      <w:pPr>
        <w:spacing w:after="0" w:line="240" w:lineRule="auto"/>
      </w:pPr>
      <w:r>
        <w:separator/>
      </w:r>
    </w:p>
  </w:footnote>
  <w:footnote w:type="continuationSeparator" w:id="0">
    <w:p w14:paraId="64E59255" w14:textId="77777777" w:rsidR="00A81AC3" w:rsidRDefault="00A81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5E7147E" w14:paraId="068E02F0" w14:textId="77777777" w:rsidTr="65E7147E">
      <w:trPr>
        <w:trHeight w:val="300"/>
      </w:trPr>
      <w:tc>
        <w:tcPr>
          <w:tcW w:w="3120" w:type="dxa"/>
        </w:tcPr>
        <w:p w14:paraId="69475AA4" w14:textId="20FDEE9F" w:rsidR="65E7147E" w:rsidRDefault="65E7147E" w:rsidP="65E7147E">
          <w:pPr>
            <w:pStyle w:val="Header"/>
            <w:ind w:left="-115"/>
          </w:pPr>
        </w:p>
      </w:tc>
      <w:tc>
        <w:tcPr>
          <w:tcW w:w="3120" w:type="dxa"/>
        </w:tcPr>
        <w:p w14:paraId="7D3271B2" w14:textId="208831B2" w:rsidR="65E7147E" w:rsidRDefault="65E7147E" w:rsidP="65E7147E">
          <w:pPr>
            <w:pStyle w:val="Header"/>
            <w:jc w:val="center"/>
          </w:pPr>
        </w:p>
      </w:tc>
      <w:tc>
        <w:tcPr>
          <w:tcW w:w="3120" w:type="dxa"/>
        </w:tcPr>
        <w:p w14:paraId="3CE92ACA" w14:textId="15390EA2" w:rsidR="65E7147E" w:rsidRDefault="65E7147E" w:rsidP="65E7147E">
          <w:pPr>
            <w:pStyle w:val="Header"/>
            <w:ind w:right="-115"/>
            <w:jc w:val="right"/>
          </w:pPr>
        </w:p>
      </w:tc>
    </w:tr>
  </w:tbl>
  <w:p w14:paraId="41956D17" w14:textId="03F0353B" w:rsidR="65E7147E" w:rsidRDefault="65E7147E" w:rsidP="65E71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3F7E14"/>
    <w:multiLevelType w:val="hybridMultilevel"/>
    <w:tmpl w:val="8E36344E"/>
    <w:lvl w:ilvl="0" w:tplc="0E08A192">
      <w:start w:val="1"/>
      <w:numFmt w:val="bullet"/>
      <w:lvlText w:val=""/>
      <w:lvlJc w:val="left"/>
      <w:pPr>
        <w:ind w:left="720" w:hanging="360"/>
      </w:pPr>
      <w:rPr>
        <w:rFonts w:ascii="Symbol" w:hAnsi="Symbol" w:hint="default"/>
      </w:rPr>
    </w:lvl>
    <w:lvl w:ilvl="1" w:tplc="EC449BCA">
      <w:start w:val="1"/>
      <w:numFmt w:val="bullet"/>
      <w:lvlText w:val="o"/>
      <w:lvlJc w:val="left"/>
      <w:pPr>
        <w:ind w:left="1440" w:hanging="360"/>
      </w:pPr>
      <w:rPr>
        <w:rFonts w:ascii="Courier New" w:hAnsi="Courier New" w:hint="default"/>
      </w:rPr>
    </w:lvl>
    <w:lvl w:ilvl="2" w:tplc="1A3250F6">
      <w:start w:val="1"/>
      <w:numFmt w:val="bullet"/>
      <w:lvlText w:val=""/>
      <w:lvlJc w:val="left"/>
      <w:pPr>
        <w:ind w:left="2160" w:hanging="360"/>
      </w:pPr>
      <w:rPr>
        <w:rFonts w:ascii="Wingdings" w:hAnsi="Wingdings" w:hint="default"/>
      </w:rPr>
    </w:lvl>
    <w:lvl w:ilvl="3" w:tplc="3C2E3C8A">
      <w:start w:val="1"/>
      <w:numFmt w:val="bullet"/>
      <w:lvlText w:val=""/>
      <w:lvlJc w:val="left"/>
      <w:pPr>
        <w:ind w:left="2880" w:hanging="360"/>
      </w:pPr>
      <w:rPr>
        <w:rFonts w:ascii="Symbol" w:hAnsi="Symbol" w:hint="default"/>
      </w:rPr>
    </w:lvl>
    <w:lvl w:ilvl="4" w:tplc="057A86F0">
      <w:start w:val="1"/>
      <w:numFmt w:val="bullet"/>
      <w:lvlText w:val="o"/>
      <w:lvlJc w:val="left"/>
      <w:pPr>
        <w:ind w:left="3600" w:hanging="360"/>
      </w:pPr>
      <w:rPr>
        <w:rFonts w:ascii="Courier New" w:hAnsi="Courier New" w:hint="default"/>
      </w:rPr>
    </w:lvl>
    <w:lvl w:ilvl="5" w:tplc="03E023AE">
      <w:start w:val="1"/>
      <w:numFmt w:val="bullet"/>
      <w:lvlText w:val=""/>
      <w:lvlJc w:val="left"/>
      <w:pPr>
        <w:ind w:left="4320" w:hanging="360"/>
      </w:pPr>
      <w:rPr>
        <w:rFonts w:ascii="Wingdings" w:hAnsi="Wingdings" w:hint="default"/>
      </w:rPr>
    </w:lvl>
    <w:lvl w:ilvl="6" w:tplc="418ABCFE">
      <w:start w:val="1"/>
      <w:numFmt w:val="bullet"/>
      <w:lvlText w:val=""/>
      <w:lvlJc w:val="left"/>
      <w:pPr>
        <w:ind w:left="5040" w:hanging="360"/>
      </w:pPr>
      <w:rPr>
        <w:rFonts w:ascii="Symbol" w:hAnsi="Symbol" w:hint="default"/>
      </w:rPr>
    </w:lvl>
    <w:lvl w:ilvl="7" w:tplc="EA7AE958">
      <w:start w:val="1"/>
      <w:numFmt w:val="bullet"/>
      <w:lvlText w:val="o"/>
      <w:lvlJc w:val="left"/>
      <w:pPr>
        <w:ind w:left="5760" w:hanging="360"/>
      </w:pPr>
      <w:rPr>
        <w:rFonts w:ascii="Courier New" w:hAnsi="Courier New" w:hint="default"/>
      </w:rPr>
    </w:lvl>
    <w:lvl w:ilvl="8" w:tplc="6762A0D8">
      <w:start w:val="1"/>
      <w:numFmt w:val="bullet"/>
      <w:lvlText w:val=""/>
      <w:lvlJc w:val="left"/>
      <w:pPr>
        <w:ind w:left="6480" w:hanging="360"/>
      </w:pPr>
      <w:rPr>
        <w:rFonts w:ascii="Wingdings" w:hAnsi="Wingdings" w:hint="default"/>
      </w:rPr>
    </w:lvl>
  </w:abstractNum>
  <w:num w:numId="1" w16cid:durableId="1141789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617EC6"/>
    <w:rsid w:val="00052FE6"/>
    <w:rsid w:val="00141003"/>
    <w:rsid w:val="00160281"/>
    <w:rsid w:val="0019511B"/>
    <w:rsid w:val="003E79F6"/>
    <w:rsid w:val="003F1245"/>
    <w:rsid w:val="004A651C"/>
    <w:rsid w:val="00610BEB"/>
    <w:rsid w:val="00731597"/>
    <w:rsid w:val="00754632"/>
    <w:rsid w:val="007B1469"/>
    <w:rsid w:val="008872B6"/>
    <w:rsid w:val="00916859"/>
    <w:rsid w:val="00A81AC3"/>
    <w:rsid w:val="00AC7A25"/>
    <w:rsid w:val="00AF429D"/>
    <w:rsid w:val="00C20640"/>
    <w:rsid w:val="00C46AB2"/>
    <w:rsid w:val="00CE2854"/>
    <w:rsid w:val="00DB03B6"/>
    <w:rsid w:val="00E60433"/>
    <w:rsid w:val="00E83C77"/>
    <w:rsid w:val="00E97543"/>
    <w:rsid w:val="00F00871"/>
    <w:rsid w:val="010496C3"/>
    <w:rsid w:val="0172121C"/>
    <w:rsid w:val="01DA4A57"/>
    <w:rsid w:val="026BA7F9"/>
    <w:rsid w:val="02CD6E9F"/>
    <w:rsid w:val="0340B121"/>
    <w:rsid w:val="03B1F531"/>
    <w:rsid w:val="0454B2D9"/>
    <w:rsid w:val="04B8488D"/>
    <w:rsid w:val="04C85933"/>
    <w:rsid w:val="04D7C46B"/>
    <w:rsid w:val="053BA5E0"/>
    <w:rsid w:val="05BE8171"/>
    <w:rsid w:val="061FBE46"/>
    <w:rsid w:val="07D8AA26"/>
    <w:rsid w:val="097981EB"/>
    <w:rsid w:val="09A36EE1"/>
    <w:rsid w:val="0ABB2709"/>
    <w:rsid w:val="0B617EC6"/>
    <w:rsid w:val="0BAD6619"/>
    <w:rsid w:val="0BDA2D42"/>
    <w:rsid w:val="0DAC8845"/>
    <w:rsid w:val="0DE4AA52"/>
    <w:rsid w:val="0F066C7E"/>
    <w:rsid w:val="0F4ABA69"/>
    <w:rsid w:val="0F7A63E7"/>
    <w:rsid w:val="10F8B380"/>
    <w:rsid w:val="112B5A78"/>
    <w:rsid w:val="1131D51B"/>
    <w:rsid w:val="11B0C9A4"/>
    <w:rsid w:val="11B7FFB1"/>
    <w:rsid w:val="123FE164"/>
    <w:rsid w:val="126ED323"/>
    <w:rsid w:val="12DBE82B"/>
    <w:rsid w:val="1348E80D"/>
    <w:rsid w:val="13EC1C47"/>
    <w:rsid w:val="1429C7A0"/>
    <w:rsid w:val="152D1EAB"/>
    <w:rsid w:val="15457139"/>
    <w:rsid w:val="15703798"/>
    <w:rsid w:val="178B5812"/>
    <w:rsid w:val="17F7DD66"/>
    <w:rsid w:val="1A1742B1"/>
    <w:rsid w:val="1A602DEA"/>
    <w:rsid w:val="1AC8DD50"/>
    <w:rsid w:val="1B7D6590"/>
    <w:rsid w:val="1BC1F009"/>
    <w:rsid w:val="1C4F48BA"/>
    <w:rsid w:val="20CBEBDF"/>
    <w:rsid w:val="20E573E3"/>
    <w:rsid w:val="233C2FD3"/>
    <w:rsid w:val="237AFC06"/>
    <w:rsid w:val="237EB450"/>
    <w:rsid w:val="24F6DBC9"/>
    <w:rsid w:val="2542409A"/>
    <w:rsid w:val="2668D142"/>
    <w:rsid w:val="26C79089"/>
    <w:rsid w:val="27BE6AFE"/>
    <w:rsid w:val="287D3261"/>
    <w:rsid w:val="296A0E60"/>
    <w:rsid w:val="29A04AAD"/>
    <w:rsid w:val="29B1BF17"/>
    <w:rsid w:val="2C21AFFC"/>
    <w:rsid w:val="2D1C64D8"/>
    <w:rsid w:val="2D556C11"/>
    <w:rsid w:val="2D770622"/>
    <w:rsid w:val="2DEAC7B1"/>
    <w:rsid w:val="2E2B8965"/>
    <w:rsid w:val="2E4D66C4"/>
    <w:rsid w:val="2EF13C72"/>
    <w:rsid w:val="308D0CD3"/>
    <w:rsid w:val="3098CA7C"/>
    <w:rsid w:val="314924A3"/>
    <w:rsid w:val="31A3A89F"/>
    <w:rsid w:val="329B9BEE"/>
    <w:rsid w:val="32D623AD"/>
    <w:rsid w:val="3392BE5B"/>
    <w:rsid w:val="33EB133E"/>
    <w:rsid w:val="34492B43"/>
    <w:rsid w:val="34911338"/>
    <w:rsid w:val="35271001"/>
    <w:rsid w:val="354A23C3"/>
    <w:rsid w:val="356DBB42"/>
    <w:rsid w:val="3586E39F"/>
    <w:rsid w:val="35B3D639"/>
    <w:rsid w:val="35B70405"/>
    <w:rsid w:val="3635A0FF"/>
    <w:rsid w:val="365990AF"/>
    <w:rsid w:val="366367CF"/>
    <w:rsid w:val="368AB2C0"/>
    <w:rsid w:val="36D722A8"/>
    <w:rsid w:val="36EEF50E"/>
    <w:rsid w:val="379380E4"/>
    <w:rsid w:val="386854B4"/>
    <w:rsid w:val="394E00EA"/>
    <w:rsid w:val="398E6DFA"/>
    <w:rsid w:val="3B2127E3"/>
    <w:rsid w:val="3B54A881"/>
    <w:rsid w:val="3C8033D4"/>
    <w:rsid w:val="3E259D9D"/>
    <w:rsid w:val="3E6802A9"/>
    <w:rsid w:val="3E84BB5D"/>
    <w:rsid w:val="3E8F2AE7"/>
    <w:rsid w:val="3F311330"/>
    <w:rsid w:val="3F366971"/>
    <w:rsid w:val="3FF5E0DD"/>
    <w:rsid w:val="41152593"/>
    <w:rsid w:val="42A65BCA"/>
    <w:rsid w:val="42C69782"/>
    <w:rsid w:val="42DCDEE8"/>
    <w:rsid w:val="43845D11"/>
    <w:rsid w:val="4394A664"/>
    <w:rsid w:val="44331D01"/>
    <w:rsid w:val="445CDA91"/>
    <w:rsid w:val="44B56BF5"/>
    <w:rsid w:val="459FB65B"/>
    <w:rsid w:val="46614201"/>
    <w:rsid w:val="4681C187"/>
    <w:rsid w:val="46D2E741"/>
    <w:rsid w:val="479281D3"/>
    <w:rsid w:val="47EAA915"/>
    <w:rsid w:val="48137260"/>
    <w:rsid w:val="482C15C7"/>
    <w:rsid w:val="486D7E64"/>
    <w:rsid w:val="4903A883"/>
    <w:rsid w:val="49A39959"/>
    <w:rsid w:val="4A7B1260"/>
    <w:rsid w:val="4B24AD79"/>
    <w:rsid w:val="4C4925B8"/>
    <w:rsid w:val="4DA2EA48"/>
    <w:rsid w:val="4DE87498"/>
    <w:rsid w:val="4E2C0AD4"/>
    <w:rsid w:val="4EE1B4B7"/>
    <w:rsid w:val="4FB61259"/>
    <w:rsid w:val="4FF81E9C"/>
    <w:rsid w:val="50055BE8"/>
    <w:rsid w:val="501E8445"/>
    <w:rsid w:val="5028B7BB"/>
    <w:rsid w:val="505EC2C6"/>
    <w:rsid w:val="50E4C695"/>
    <w:rsid w:val="511AD84A"/>
    <w:rsid w:val="5193EEFD"/>
    <w:rsid w:val="51A12C49"/>
    <w:rsid w:val="51FA2F0B"/>
    <w:rsid w:val="523F8DE7"/>
    <w:rsid w:val="525D8F4B"/>
    <w:rsid w:val="52661073"/>
    <w:rsid w:val="52AC5A0B"/>
    <w:rsid w:val="5413ABC0"/>
    <w:rsid w:val="548F87FA"/>
    <w:rsid w:val="54D29495"/>
    <w:rsid w:val="5518E4A6"/>
    <w:rsid w:val="56FAB96B"/>
    <w:rsid w:val="58D7F316"/>
    <w:rsid w:val="595E81E3"/>
    <w:rsid w:val="5A1DDFF8"/>
    <w:rsid w:val="5A778B9E"/>
    <w:rsid w:val="5BB243D4"/>
    <w:rsid w:val="5C221CAD"/>
    <w:rsid w:val="5E42BD60"/>
    <w:rsid w:val="5EDB36AE"/>
    <w:rsid w:val="6014826A"/>
    <w:rsid w:val="6059EFE0"/>
    <w:rsid w:val="610DA4C6"/>
    <w:rsid w:val="612CCBB8"/>
    <w:rsid w:val="628763D0"/>
    <w:rsid w:val="6312DC03"/>
    <w:rsid w:val="634AC134"/>
    <w:rsid w:val="64233431"/>
    <w:rsid w:val="64DF5C6A"/>
    <w:rsid w:val="658AAECD"/>
    <w:rsid w:val="65E7147E"/>
    <w:rsid w:val="6780AB8B"/>
    <w:rsid w:val="68C1E621"/>
    <w:rsid w:val="690D4895"/>
    <w:rsid w:val="691ECD52"/>
    <w:rsid w:val="69797267"/>
    <w:rsid w:val="69BB2593"/>
    <w:rsid w:val="6A0EC9F8"/>
    <w:rsid w:val="6B29296D"/>
    <w:rsid w:val="6B3CF297"/>
    <w:rsid w:val="6D4E4951"/>
    <w:rsid w:val="6E17A581"/>
    <w:rsid w:val="6E764759"/>
    <w:rsid w:val="6ED9F0F8"/>
    <w:rsid w:val="6EE799B3"/>
    <w:rsid w:val="6F8DF6C4"/>
    <w:rsid w:val="705A6FBA"/>
    <w:rsid w:val="70873021"/>
    <w:rsid w:val="70B01A5B"/>
    <w:rsid w:val="70E8784D"/>
    <w:rsid w:val="719253FC"/>
    <w:rsid w:val="727FB0BF"/>
    <w:rsid w:val="72B87F41"/>
    <w:rsid w:val="72ED926D"/>
    <w:rsid w:val="72FB47D0"/>
    <w:rsid w:val="73AEC038"/>
    <w:rsid w:val="74C13927"/>
    <w:rsid w:val="75007690"/>
    <w:rsid w:val="753A6076"/>
    <w:rsid w:val="762FC366"/>
    <w:rsid w:val="77E2996C"/>
    <w:rsid w:val="78017C14"/>
    <w:rsid w:val="784C4294"/>
    <w:rsid w:val="786C5717"/>
    <w:rsid w:val="78EC7D88"/>
    <w:rsid w:val="795510D4"/>
    <w:rsid w:val="79A32F15"/>
    <w:rsid w:val="7A7D8B00"/>
    <w:rsid w:val="7AB1D683"/>
    <w:rsid w:val="7B496BFF"/>
    <w:rsid w:val="7B86AA53"/>
    <w:rsid w:val="7CAE3238"/>
    <w:rsid w:val="7CF8F9A6"/>
    <w:rsid w:val="7DE3E20D"/>
    <w:rsid w:val="7E4AC6E3"/>
    <w:rsid w:val="7EA2A994"/>
    <w:rsid w:val="7FB29F60"/>
    <w:rsid w:val="7FE7E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17EC6"/>
  <w15:chartTrackingRefBased/>
  <w15:docId w15:val="{108096AC-EA75-4DF6-BB89-0B0D532B2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5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31597"/>
    <w:pPr>
      <w:keepNext/>
      <w:keepLines/>
      <w:spacing w:before="40" w:after="0"/>
      <w:outlineLvl w:val="1"/>
    </w:pPr>
    <w:rPr>
      <w:rFonts w:asciiTheme="majorHAnsi" w:eastAsiaTheme="majorEastAsia" w:hAnsiTheme="majorHAnsi" w:cstheme="majorBidi"/>
      <w:b/>
      <w:color w:val="2103A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597"/>
    <w:rPr>
      <w:color w:val="2103A5"/>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rsid w:val="523F8DE7"/>
    <w:pPr>
      <w:ind w:left="720"/>
      <w:contextualSpacing/>
    </w:pPr>
  </w:style>
  <w:style w:type="paragraph" w:styleId="Revision">
    <w:name w:val="Revision"/>
    <w:hidden/>
    <w:uiPriority w:val="99"/>
    <w:semiHidden/>
    <w:rsid w:val="00AC7A25"/>
    <w:pPr>
      <w:spacing w:after="0" w:line="240" w:lineRule="auto"/>
    </w:pPr>
  </w:style>
  <w:style w:type="character" w:customStyle="1" w:styleId="Heading1Char">
    <w:name w:val="Heading 1 Char"/>
    <w:basedOn w:val="DefaultParagraphFont"/>
    <w:link w:val="Heading1"/>
    <w:uiPriority w:val="9"/>
    <w:rsid w:val="0073159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31597"/>
    <w:rPr>
      <w:rFonts w:asciiTheme="majorHAnsi" w:eastAsiaTheme="majorEastAsia" w:hAnsiTheme="majorHAnsi" w:cstheme="majorBidi"/>
      <w:b/>
      <w:color w:val="2103A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hs.gov/hipaa/for-professionals/privacy/special-topics/de-identification/index.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ecurity@ct.ed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tstate-irb@ct.edu" TargetMode="External"/><Relationship Id="rId5" Type="http://schemas.openxmlformats.org/officeDocument/2006/relationships/styles" Target="styles.xml"/><Relationship Id="rId15" Type="http://schemas.openxmlformats.org/officeDocument/2006/relationships/hyperlink" Target="https://www.ct.edu/dataprivacy"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t.edu/it/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40F12D417C1D48AACF524FA1F34C37" ma:contentTypeVersion="14" ma:contentTypeDescription="Create a new document." ma:contentTypeScope="" ma:versionID="017b8ad60328742e3468512de32b5d67">
  <xsd:schema xmlns:xsd="http://www.w3.org/2001/XMLSchema" xmlns:xs="http://www.w3.org/2001/XMLSchema" xmlns:p="http://schemas.microsoft.com/office/2006/metadata/properties" xmlns:ns2="3ed75345-55a6-45ac-b9c9-2f53667a7be4" xmlns:ns3="bc54255e-5ca2-428f-a2aa-17ef212e757f" targetNamespace="http://schemas.microsoft.com/office/2006/metadata/properties" ma:root="true" ma:fieldsID="79ce1a697b041c66c81502ee6e95b21d" ns2:_="" ns3:_="">
    <xsd:import namespace="3ed75345-55a6-45ac-b9c9-2f53667a7be4"/>
    <xsd:import namespace="bc54255e-5ca2-428f-a2aa-17ef212e75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75345-55a6-45ac-b9c9-2f53667a7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d229a5-b01e-474a-aefe-94e0a66f8f7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54255e-5ca2-428f-a2aa-17ef212e75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57b5c79-e3bd-485e-8333-aba6a9712f18}" ma:internalName="TaxCatchAll" ma:showField="CatchAllData" ma:web="bc54255e-5ca2-428f-a2aa-17ef212e7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54255e-5ca2-428f-a2aa-17ef212e757f" xsi:nil="true"/>
    <lcf76f155ced4ddcb4097134ff3c332f xmlns="3ed75345-55a6-45ac-b9c9-2f53667a7be4">
      <Terms xmlns="http://schemas.microsoft.com/office/infopath/2007/PartnerControls"/>
    </lcf76f155ced4ddcb4097134ff3c332f>
    <SharedWithUsers xmlns="bc54255e-5ca2-428f-a2aa-17ef212e757f">
      <UserInfo>
        <DisplayName>Litvin, Vita</DisplayName>
        <AccountId>49</AccountId>
        <AccountType/>
      </UserInfo>
      <UserInfo>
        <DisplayName>Walsh, Shannon M</DisplayName>
        <AccountId>50</AccountId>
        <AccountType/>
      </UserInfo>
      <UserInfo>
        <DisplayName>White-Mink, Cheryl D</DisplayName>
        <AccountId>58</AccountId>
        <AccountType/>
      </UserInfo>
    </SharedWithUsers>
  </documentManagement>
</p:properties>
</file>

<file path=customXml/itemProps1.xml><?xml version="1.0" encoding="utf-8"?>
<ds:datastoreItem xmlns:ds="http://schemas.openxmlformats.org/officeDocument/2006/customXml" ds:itemID="{F3976B6B-81C0-45A4-BAC5-BF309440D4A9}">
  <ds:schemaRefs>
    <ds:schemaRef ds:uri="http://schemas.microsoft.com/sharepoint/v3/contenttype/forms"/>
  </ds:schemaRefs>
</ds:datastoreItem>
</file>

<file path=customXml/itemProps2.xml><?xml version="1.0" encoding="utf-8"?>
<ds:datastoreItem xmlns:ds="http://schemas.openxmlformats.org/officeDocument/2006/customXml" ds:itemID="{57A45EDC-F0EF-4267-85A7-F9816BC4F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75345-55a6-45ac-b9c9-2f53667a7be4"/>
    <ds:schemaRef ds:uri="bc54255e-5ca2-428f-a2aa-17ef212e7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8A6A07-E45E-4436-A2DC-84C0C1E7EA3B}">
  <ds:schemaRefs>
    <ds:schemaRef ds:uri="http://schemas.microsoft.com/office/2006/metadata/properties"/>
    <ds:schemaRef ds:uri="http://schemas.microsoft.com/office/infopath/2007/PartnerControls"/>
    <ds:schemaRef ds:uri="bc54255e-5ca2-428f-a2aa-17ef212e757f"/>
    <ds:schemaRef ds:uri="3ed75345-55a6-45ac-b9c9-2f53667a7be4"/>
  </ds:schemaRefs>
</ds:datastoreItem>
</file>

<file path=docProps/app.xml><?xml version="1.0" encoding="utf-8"?>
<Properties xmlns="http://schemas.openxmlformats.org/officeDocument/2006/extended-properties" xmlns:vt="http://schemas.openxmlformats.org/officeDocument/2006/docPropsVTypes">
  <Template>Normal.dotm</Template>
  <TotalTime>1397</TotalTime>
  <Pages>3</Pages>
  <Words>1112</Words>
  <Characters>6356</Characters>
  <Application>Microsoft Office Word</Application>
  <DocSecurity>0</DocSecurity>
  <Lines>100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IRB Data Security Guidelines</dc:title>
  <dc:subject/>
  <dc:creator>Omar, Sohair</dc:creator>
  <cp:keywords/>
  <dc:description/>
  <cp:lastModifiedBy>Page, Yvonne M (Middlesex)</cp:lastModifiedBy>
  <cp:revision>14</cp:revision>
  <dcterms:created xsi:type="dcterms:W3CDTF">2023-11-22T16:42:00Z</dcterms:created>
  <dcterms:modified xsi:type="dcterms:W3CDTF">2026-10-14T18:07:00Z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0x010100E440F12D417C1D48AACF524FA1F34C37</vt:lpwstr>
  </property>
  <property fmtid="{D5CDD505-2E9C-101B-9397-08002B2CF9AE}" pid="3" name="MediaServiceImageTags">
    <vt:lpwstr/>
  </property>
</Properties>
</file>